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2" w:type="dxa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557"/>
        <w:gridCol w:w="6393"/>
        <w:gridCol w:w="564"/>
        <w:gridCol w:w="560"/>
        <w:gridCol w:w="585"/>
      </w:tblGrid>
      <w:tr w:rsidR="00454A63" w:rsidRPr="00C74D65" w14:paraId="3F3564F9" w14:textId="77777777" w:rsidTr="003B0EA6">
        <w:trPr>
          <w:trHeight w:val="459"/>
          <w:jc w:val="center"/>
        </w:trPr>
        <w:tc>
          <w:tcPr>
            <w:tcW w:w="10082" w:type="dxa"/>
            <w:gridSpan w:val="6"/>
            <w:shd w:val="clear" w:color="auto" w:fill="DAE9F7" w:themeFill="text2" w:themeFillTint="1A"/>
          </w:tcPr>
          <w:p w14:paraId="1C8706C2" w14:textId="342A2D28" w:rsidR="00454A63" w:rsidRPr="00C74D65" w:rsidRDefault="009310AC" w:rsidP="00C74D65">
            <w:pPr>
              <w:spacing w:after="120"/>
              <w:jc w:val="center"/>
              <w:rPr>
                <w:rFonts w:ascii="Archivo" w:hAnsi="Archivo" w:cs="Archivo"/>
                <w:b/>
                <w:bCs/>
                <w:sz w:val="24"/>
                <w:szCs w:val="24"/>
              </w:rPr>
            </w:pPr>
            <w:r>
              <w:rPr>
                <w:rFonts w:ascii="Archivo" w:hAnsi="Archivo" w:cs="Archivo"/>
                <w:b/>
                <w:bCs/>
                <w:sz w:val="24"/>
                <w:szCs w:val="24"/>
              </w:rPr>
              <w:t xml:space="preserve">LIFT &amp; SHIFT </w:t>
            </w:r>
            <w:r w:rsidR="00060C8E">
              <w:rPr>
                <w:rFonts w:ascii="Archivo" w:hAnsi="Archivo" w:cs="Archivo"/>
                <w:b/>
                <w:bCs/>
                <w:sz w:val="24"/>
                <w:szCs w:val="24"/>
              </w:rPr>
              <w:t>CHECKLIST</w:t>
            </w:r>
            <w:r>
              <w:rPr>
                <w:rFonts w:ascii="Archivo" w:hAnsi="Archivo" w:cs="Archivo"/>
                <w:b/>
                <w:bCs/>
                <w:sz w:val="24"/>
                <w:szCs w:val="24"/>
              </w:rPr>
              <w:t xml:space="preserve"> BY SITE TEAM</w:t>
            </w:r>
            <w:r w:rsidR="00C74D65">
              <w:rPr>
                <w:rStyle w:val="FootnoteReference"/>
                <w:rFonts w:ascii="Archivo" w:hAnsi="Archivo" w:cs="Archivo"/>
                <w:b/>
                <w:bCs/>
                <w:sz w:val="24"/>
                <w:szCs w:val="24"/>
              </w:rPr>
              <w:footnoteReference w:id="1"/>
            </w:r>
          </w:p>
          <w:p w14:paraId="031B0903" w14:textId="3CA61ED3" w:rsidR="00060C8E" w:rsidRPr="009309CB" w:rsidRDefault="009309CB" w:rsidP="009309CB">
            <w:pPr>
              <w:spacing w:after="120"/>
              <w:rPr>
                <w:rFonts w:ascii="Archivo" w:hAnsi="Archivo" w:cs="Archivo"/>
                <w:i/>
                <w:iCs/>
              </w:rPr>
            </w:pPr>
            <w:r w:rsidRPr="009309CB">
              <w:rPr>
                <w:rFonts w:ascii="Archivo" w:hAnsi="Archivo" w:cs="Archivo"/>
              </w:rPr>
              <w:t>This checklist is to be completed by the site project team prior to acceptance of delivery of the electrical equipment to the project site.</w:t>
            </w:r>
          </w:p>
        </w:tc>
      </w:tr>
      <w:tr w:rsidR="009309CB" w:rsidRPr="00CE79A8" w14:paraId="0C5009A5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  <w:tblHeader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974F138" w14:textId="282BC0E4" w:rsidR="009309CB" w:rsidRPr="003B0EA6" w:rsidRDefault="009309CB" w:rsidP="009309CB">
            <w:pPr>
              <w:jc w:val="right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</w:rPr>
              <w:t>Item for Delivery: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AC" w14:textId="77777777" w:rsidR="009309CB" w:rsidRPr="00CE79A8" w:rsidRDefault="009309CB" w:rsidP="009309CB">
            <w:pPr>
              <w:rPr>
                <w:rFonts w:asciiTheme="minorHAnsi" w:hAnsiTheme="minorHAnsi"/>
                <w:lang w:val="en-US"/>
              </w:rPr>
            </w:pPr>
          </w:p>
        </w:tc>
      </w:tr>
      <w:tr w:rsidR="009309CB" w:rsidRPr="00CE79A8" w14:paraId="7E45E0BA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  <w:tblHeader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758EB077" w14:textId="07CDE0C5" w:rsidR="009309CB" w:rsidRPr="003B0EA6" w:rsidRDefault="009309CB" w:rsidP="009309CB">
            <w:pPr>
              <w:jc w:val="right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</w:rPr>
              <w:t>Item Description:</w:t>
            </w:r>
          </w:p>
        </w:tc>
        <w:tc>
          <w:tcPr>
            <w:tcW w:w="81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7E7" w14:textId="77777777" w:rsidR="009309CB" w:rsidRPr="00CE79A8" w:rsidRDefault="009309CB" w:rsidP="009309CB">
            <w:pPr>
              <w:rPr>
                <w:rFonts w:asciiTheme="minorHAnsi" w:hAnsiTheme="minorHAnsi"/>
                <w:lang w:val="en-US"/>
              </w:rPr>
            </w:pPr>
          </w:p>
        </w:tc>
      </w:tr>
      <w:tr w:rsidR="00F34F3E" w:rsidRPr="00CE79A8" w14:paraId="754A66F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D36FA8D" w14:textId="3CDB2B47" w:rsidR="00F34F3E" w:rsidRPr="00F34F3E" w:rsidRDefault="00F34F3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F34F3E">
              <w:rPr>
                <w:rFonts w:asciiTheme="minorHAnsi" w:hAnsiTheme="minorHAnsi"/>
                <w:b/>
                <w:bCs/>
                <w:lang w:val="en-US"/>
              </w:rPr>
              <w:t>Aspect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136CEDD" w14:textId="3F1805DB" w:rsidR="00F34F3E" w:rsidRPr="00F34F3E" w:rsidRDefault="00F34F3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F34F3E">
              <w:rPr>
                <w:rFonts w:asciiTheme="minorHAnsi" w:hAnsiTheme="minorHAnsi"/>
                <w:b/>
                <w:bCs/>
                <w:lang w:val="en-US"/>
              </w:rPr>
              <w:t xml:space="preserve">Checklist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EAAAD62" w14:textId="17A56BD7" w:rsidR="00F34F3E" w:rsidRPr="00F34F3E" w:rsidRDefault="00F34F3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F34F3E">
              <w:rPr>
                <w:rFonts w:asciiTheme="minorHAnsi" w:hAnsiTheme="minorHAnsi"/>
                <w:b/>
                <w:bCs/>
                <w:lang w:val="en-US"/>
              </w:rPr>
              <w:t>Yes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CA4BD0" w14:textId="4026E34F" w:rsidR="00F34F3E" w:rsidRPr="00F34F3E" w:rsidRDefault="00F34F3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F34F3E">
              <w:rPr>
                <w:rFonts w:asciiTheme="minorHAnsi" w:hAnsiTheme="minorHAnsi"/>
                <w:b/>
                <w:bCs/>
                <w:lang w:val="en-US"/>
              </w:rPr>
              <w:t>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F0E33D" w14:textId="2EEB1D20" w:rsidR="00F34F3E" w:rsidRPr="00F34F3E" w:rsidRDefault="00F34F3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r w:rsidRPr="00F34F3E">
              <w:rPr>
                <w:rFonts w:asciiTheme="minorHAnsi" w:hAnsiTheme="minorHAnsi"/>
                <w:b/>
                <w:bCs/>
                <w:lang w:val="en-US"/>
              </w:rPr>
              <w:t>N/A</w:t>
            </w:r>
          </w:p>
        </w:tc>
      </w:tr>
      <w:tr w:rsidR="00F34F3E" w:rsidRPr="00CE79A8" w14:paraId="0F648D5F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0571C" w14:textId="0CC91CC9" w:rsidR="00F34F3E" w:rsidRPr="003B0EA6" w:rsidRDefault="00F34F3E" w:rsidP="00F34F3E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Legislation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FB6D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Safety, Health and Welfare at Work Act 2005 duties met</w:t>
            </w:r>
          </w:p>
          <w:p w14:paraId="3BF7451D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Compliance with GA Regulations 2007 (Work Equipment, Lifting Equipment, Manual Handling)</w:t>
            </w:r>
          </w:p>
          <w:p w14:paraId="323AB95F" w14:textId="18232C13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Construction Regulations 2013 applied where relevant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3014" w14:textId="185E93C5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7882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MS Gothic" w:eastAsia="MS Gothic" w:hAnsi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F3C71" w14:textId="7F57AF40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7270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5833" w14:textId="61EB1D6A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7693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7BABDF1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1D3EA" w14:textId="13D44C65" w:rsidR="00F34F3E" w:rsidRPr="003B0EA6" w:rsidRDefault="00F34F3E" w:rsidP="00F34F3E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Planning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36CD9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Risk assessment completed</w:t>
            </w:r>
          </w:p>
          <w:p w14:paraId="16F3967A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Method statement prepared</w:t>
            </w:r>
          </w:p>
          <w:p w14:paraId="19E09167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Site survey conducted</w:t>
            </w:r>
          </w:p>
          <w:p w14:paraId="0F4B9E4A" w14:textId="5736D00B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Ground conditions verified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2E09" w14:textId="6CD8159A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201598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6EF1B" w14:textId="38C1AC75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2435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3E1F" w14:textId="7901D38D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65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5A9B09C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BA296" w14:textId="561DBA43" w:rsidR="00F34F3E" w:rsidRPr="003B0EA6" w:rsidRDefault="00F34F3E" w:rsidP="00F34F3E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Roles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F87DD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Appointed Person / Supervisor identified</w:t>
            </w:r>
          </w:p>
          <w:p w14:paraId="308BF5DD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Competent operators and riggers assigned</w:t>
            </w:r>
          </w:p>
          <w:p w14:paraId="75293A18" w14:textId="0463EB31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Contractor compliance confirmed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6903F" w14:textId="08426A5B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91689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9F86" w14:textId="76F6D755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42673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29B0" w14:textId="76AFD382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0311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3BCDD0B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FBBE5" w14:textId="52521757" w:rsidR="00F34F3E" w:rsidRPr="003B0EA6" w:rsidRDefault="00F34F3E" w:rsidP="00F34F3E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Equipment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63AD9" w14:textId="7D4D22B6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Lifting equipment has valid thorough examination cert</w:t>
            </w:r>
            <w:r w:rsidR="00F36832">
              <w:rPr>
                <w:rFonts w:ascii="Archivo" w:hAnsi="Archivo" w:cs="Archivo"/>
                <w:lang w:val="en-US"/>
              </w:rPr>
              <w:t>ification(s)</w:t>
            </w:r>
          </w:p>
          <w:p w14:paraId="311C734B" w14:textId="77777777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Skoots/jacks/winches inspected and fit for use</w:t>
            </w:r>
          </w:p>
          <w:p w14:paraId="78B818AE" w14:textId="2B7FE3A2" w:rsidR="00F34F3E" w:rsidRPr="00D973A4" w:rsidRDefault="00F34F3E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Lifting accessories marked with WLL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B8E8" w14:textId="644C7A18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4991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1F" w14:textId="64F4C60E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9870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AE2E" w14:textId="1D5EF109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7582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26CEF0D9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251C2" w14:textId="5E51B9F7" w:rsidR="00D973A4" w:rsidRPr="003B0EA6" w:rsidRDefault="00D973A4" w:rsidP="00F34F3E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Safe System of Work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0E74" w14:textId="77777777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Lifting/moving plan documented</w:t>
            </w:r>
          </w:p>
          <w:p w14:paraId="4D2F23D3" w14:textId="77777777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Rigging/ de-rigging per manufacturer’s guidance</w:t>
            </w:r>
          </w:p>
          <w:p w14:paraId="247E2B86" w14:textId="77777777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Load stability ensured</w:t>
            </w:r>
          </w:p>
          <w:p w14:paraId="3A274D8D" w14:textId="17587BB0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Communication system in place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FE68" w14:textId="388DD7C5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8414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89A4" w14:textId="349B6953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1817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94B6" w14:textId="492456F0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9864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557E9812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3E2FB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875C" w14:textId="12282176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</w:rPr>
              <w:t>Use skid-mounted assemblies to minimise handling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9589" w14:textId="28987167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61578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7CB0" w14:textId="7B434578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8608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D568F" w14:textId="5ECD109E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6013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6A9A41F8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C892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787AB" w14:textId="7C035955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Identify Centre of Gravity (CoG) and design top cable entry accordingly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C8410" w14:textId="27870D36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8596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32497" w14:textId="0312A9DC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56321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9956" w14:textId="7E0B1D35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21374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7BC9874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1BD1B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091E0" w14:textId="0B6C749E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 xml:space="preserve">Ensure certified lifting equipment </w:t>
            </w:r>
            <w:proofErr w:type="gramStart"/>
            <w:r w:rsidRPr="00D973A4">
              <w:rPr>
                <w:rFonts w:ascii="Archivo" w:hAnsi="Archivo" w:cs="Archivo"/>
                <w:lang w:val="en-US"/>
              </w:rPr>
              <w:t>is aligned</w:t>
            </w:r>
            <w:proofErr w:type="gramEnd"/>
            <w:r w:rsidRPr="00D973A4">
              <w:rPr>
                <w:rFonts w:ascii="Archivo" w:hAnsi="Archivo" w:cs="Archivo"/>
                <w:lang w:val="en-US"/>
              </w:rPr>
              <w:t xml:space="preserve"> with the CoG for safe handling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E26A" w14:textId="5AC28D44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392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E482" w14:textId="74B2488F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97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53907" w14:textId="76969480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4693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19876A1B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872EE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E0C45" w14:textId="09CBEAC3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Provide clear Risk Assessments Method Statements (RAMS)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9DFC" w14:textId="6EFA02D8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89689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ED478" w14:textId="084C07AB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7999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C641" w14:textId="67CECD83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2192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0F3117F1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E5403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FEDD" w14:textId="03AF02BF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Locate electrical equipment near exterior entrances in greenfield projects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31CDA" w14:textId="6C08F8EE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9530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6DCB7" w14:textId="2F42AE5C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6903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4CB1" w14:textId="2C27C87A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3140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510BFB46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E6E1" w14:textId="77777777" w:rsidR="00D973A4" w:rsidRPr="00D973A4" w:rsidRDefault="00D973A4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51324" w14:textId="74A8CB25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Verify floor loadings, ceiling heights, and access routes to accommodate</w:t>
            </w:r>
            <w:r w:rsidR="00F36832">
              <w:rPr>
                <w:rFonts w:ascii="Archivo" w:hAnsi="Archivo" w:cs="Archivo"/>
                <w:lang w:val="en-US"/>
              </w:rPr>
              <w:t xml:space="preserve"> the e</w:t>
            </w:r>
            <w:r w:rsidRPr="00D973A4">
              <w:rPr>
                <w:rFonts w:ascii="Archivo" w:hAnsi="Archivo" w:cs="Archivo"/>
                <w:lang w:val="en-US"/>
              </w:rPr>
              <w:t>quipment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17E8" w14:textId="56E4F1F8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83093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F23A" w14:textId="2823A47E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296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77D5" w14:textId="7A6A30BD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2903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57EB0385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7E8D" w14:textId="77777777" w:rsidR="00D973A4" w:rsidRPr="00D973A4" w:rsidRDefault="00D973A4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AC410" w14:textId="56DCC0FD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Fit lifting eyes or approved lifting points wherever possible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4F50" w14:textId="6DE48D56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39659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F7E10" w14:textId="740F1DDE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54274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0905" w14:textId="02F9B0C8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34085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3320E2D9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2E513" w14:textId="77777777" w:rsidR="00D973A4" w:rsidRPr="00D973A4" w:rsidRDefault="00D973A4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E8FD" w14:textId="3FFFA81F" w:rsidR="00D973A4" w:rsidRPr="00D973A4" w:rsidRDefault="00D973A4" w:rsidP="005E3C2F">
            <w:pPr>
              <w:pStyle w:val="ListParagraph"/>
              <w:numPr>
                <w:ilvl w:val="0"/>
                <w:numId w:val="14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Ensure floors are level and stable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8F8B8" w14:textId="4DE18155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38031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A7746" w14:textId="5F2B8314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9118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7665" w14:textId="23507102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31024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2243F06A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B76BA" w14:textId="77777777" w:rsidR="00D973A4" w:rsidRPr="00D973A4" w:rsidRDefault="00D973A4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7385" w14:textId="600C0BED" w:rsidR="00D973A4" w:rsidRPr="00D973A4" w:rsidRDefault="00D973A4" w:rsidP="00D973A4">
            <w:pPr>
              <w:pStyle w:val="ListParagraph"/>
              <w:numPr>
                <w:ilvl w:val="0"/>
                <w:numId w:val="15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Design plinths for forklift compatibility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86C3" w14:textId="493277C3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23713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0D1B0" w14:textId="30294690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56183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27AD" w14:textId="3A84CA2B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03379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5CE3DFCE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AE0CF" w14:textId="77777777" w:rsidR="00D973A4" w:rsidRPr="00D973A4" w:rsidRDefault="00D973A4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37EB" w14:textId="134CB4E2" w:rsidR="00D973A4" w:rsidRPr="00D973A4" w:rsidRDefault="00D973A4" w:rsidP="00D973A4">
            <w:pPr>
              <w:pStyle w:val="ListParagraph"/>
              <w:numPr>
                <w:ilvl w:val="0"/>
                <w:numId w:val="15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 xml:space="preserve">Heavy components should </w:t>
            </w:r>
            <w:proofErr w:type="gramStart"/>
            <w:r w:rsidRPr="00D973A4">
              <w:rPr>
                <w:rFonts w:ascii="Archivo" w:hAnsi="Archivo" w:cs="Archivo"/>
                <w:lang w:val="en-US"/>
              </w:rPr>
              <w:t>be positioned</w:t>
            </w:r>
            <w:proofErr w:type="gramEnd"/>
            <w:r w:rsidRPr="00D973A4">
              <w:rPr>
                <w:rFonts w:ascii="Archivo" w:hAnsi="Archivo" w:cs="Archivo"/>
                <w:lang w:val="en-US"/>
              </w:rPr>
              <w:t xml:space="preserve"> at the base of the assembly where possible (and for LV, compliance with IEC EN 61439-1 temperature rise test verifications).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12097" w14:textId="00C3ECBD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31536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221E" w14:textId="775DCFB2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8653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8389" w14:textId="64F5D2FA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4263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D973A4" w:rsidRPr="00CE79A8" w14:paraId="0A54B1E3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C9C5B" w14:textId="77777777" w:rsidR="00D973A4" w:rsidRPr="00D973A4" w:rsidRDefault="00D973A4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720A9" w14:textId="45ABBB2E" w:rsidR="00D973A4" w:rsidRPr="00D973A4" w:rsidRDefault="00D973A4" w:rsidP="00D973A4">
            <w:pPr>
              <w:pStyle w:val="ListParagraph"/>
              <w:numPr>
                <w:ilvl w:val="0"/>
                <w:numId w:val="15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Always follow manufacturer’s lifting instructions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9F75" w14:textId="68389EF0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54363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F77C" w14:textId="5F36451D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3529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41CA" w14:textId="400640E7" w:rsidR="00D973A4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9431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3A4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66C174B3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8FA39" w14:textId="4AF4AFD0" w:rsidR="00F34F3E" w:rsidRPr="003B0EA6" w:rsidRDefault="00F34F3E" w:rsidP="00D973A4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Training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ACDC" w14:textId="77777777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Operators hold CSCS or equivalent</w:t>
            </w:r>
          </w:p>
          <w:p w14:paraId="163935C9" w14:textId="77777777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Competent Supervisors and Appointed Persons (for lifting operations)</w:t>
            </w:r>
          </w:p>
          <w:p w14:paraId="1AE455B8" w14:textId="2BD12CE6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b/>
                <w:bCs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Training records up to date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934CE" w14:textId="12B434F8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14965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AF2F" w14:textId="2660D786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94651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C6A93" w14:textId="6C3909D1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8159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5270FD4A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D510" w14:textId="633A8478" w:rsidR="00F34F3E" w:rsidRPr="003B0EA6" w:rsidRDefault="00F34F3E" w:rsidP="00D973A4">
            <w:pPr>
              <w:spacing w:after="120"/>
              <w:rPr>
                <w:rFonts w:ascii="Archivo" w:hAnsi="Archivo" w:cs="Archivo"/>
                <w:lang w:val="en-US"/>
              </w:rPr>
            </w:pPr>
            <w:r w:rsidRPr="003B0EA6">
              <w:rPr>
                <w:rFonts w:ascii="Archivo" w:hAnsi="Archivo" w:cs="Archivo"/>
                <w:lang w:val="en-US"/>
              </w:rPr>
              <w:t>Emergency Preparedness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8DF03" w14:textId="77777777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Rescue plan documented</w:t>
            </w:r>
          </w:p>
          <w:p w14:paraId="53340B58" w14:textId="77777777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First aid provision confirmed</w:t>
            </w:r>
          </w:p>
          <w:p w14:paraId="69489F13" w14:textId="196F0589" w:rsidR="00F34F3E" w:rsidRPr="00D973A4" w:rsidRDefault="00F34F3E" w:rsidP="00D973A4">
            <w:pPr>
              <w:pStyle w:val="ListParagraph"/>
              <w:numPr>
                <w:ilvl w:val="0"/>
                <w:numId w:val="16"/>
              </w:numPr>
              <w:spacing w:after="120"/>
              <w:ind w:left="434" w:hanging="283"/>
              <w:rPr>
                <w:rFonts w:ascii="Archivo" w:hAnsi="Archivo" w:cs="Archivo"/>
                <w:lang w:val="en-US"/>
              </w:rPr>
            </w:pPr>
            <w:r w:rsidRPr="00D973A4">
              <w:rPr>
                <w:rFonts w:ascii="Archivo" w:hAnsi="Archivo" w:cs="Archivo"/>
                <w:lang w:val="en-US"/>
              </w:rPr>
              <w:t>Emergency contacts briefed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9B0F" w14:textId="56BF1D2A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-11548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4B4B" w14:textId="7CCEB596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5832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E" w:rsidRPr="00CE7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429B" w14:textId="51A7FECE" w:rsidR="00F34F3E" w:rsidRPr="00922C25" w:rsidRDefault="00E7309E" w:rsidP="00F34F3E">
            <w:pPr>
              <w:spacing w:after="120"/>
              <w:jc w:val="center"/>
              <w:rPr>
                <w:rFonts w:ascii="Archivo" w:hAnsi="Archivo" w:cs="Archivo"/>
                <w:b/>
                <w:bCs/>
                <w:lang w:val="en-US"/>
              </w:rPr>
            </w:pPr>
            <w:sdt>
              <w:sdtPr>
                <w:rPr>
                  <w:sz w:val="22"/>
                  <w:szCs w:val="22"/>
                  <w:lang w:val="en-US"/>
                </w:rPr>
                <w:id w:val="7293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32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F34F3E" w:rsidRPr="00CE79A8" w14:paraId="08DD6748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00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5D283C" w14:textId="3DC2493F" w:rsidR="00F34F3E" w:rsidRPr="00922C25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  <w:r>
              <w:rPr>
                <w:rFonts w:ascii="Archivo" w:hAnsi="Archivo" w:cs="Archivo"/>
                <w:b/>
                <w:bCs/>
                <w:lang w:val="en-US"/>
              </w:rPr>
              <w:t>Additional Comments:</w:t>
            </w:r>
          </w:p>
        </w:tc>
      </w:tr>
      <w:tr w:rsidR="00F34F3E" w:rsidRPr="00CE79A8" w14:paraId="05195EEC" w14:textId="77777777" w:rsidTr="003B0E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tblHeader/>
          <w:jc w:val="center"/>
        </w:trPr>
        <w:tc>
          <w:tcPr>
            <w:tcW w:w="10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1F2C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272C330B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04EE4534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41B59EC2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3FC07470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090C4D9A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6744D6A2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0BA1BBA6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19FE80B6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34D4CF2F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6E87398A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17D589BD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22F5B789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4D4DAE61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63EE9181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03205908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45315549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23017393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7A4FBC73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1AB5ACC3" w14:textId="77777777" w:rsidR="00F34F3E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  <w:p w14:paraId="6111DB5D" w14:textId="77777777" w:rsidR="00F34F3E" w:rsidRPr="00922C25" w:rsidRDefault="00F34F3E" w:rsidP="00F34F3E">
            <w:pPr>
              <w:spacing w:after="120"/>
              <w:rPr>
                <w:rFonts w:ascii="Archivo" w:hAnsi="Archivo" w:cs="Archivo"/>
                <w:b/>
                <w:bCs/>
                <w:lang w:val="en-US"/>
              </w:rPr>
            </w:pPr>
          </w:p>
        </w:tc>
      </w:tr>
    </w:tbl>
    <w:p w14:paraId="2F8936AF" w14:textId="77777777" w:rsidR="00EF4225" w:rsidRPr="00C74D65" w:rsidRDefault="00EF4225" w:rsidP="0023739C">
      <w:pPr>
        <w:ind w:left="-567"/>
        <w:rPr>
          <w:rFonts w:ascii="Archivo" w:hAnsi="Archivo" w:cs="Archivo"/>
        </w:rPr>
      </w:pPr>
    </w:p>
    <w:sectPr w:rsidR="00EF4225" w:rsidRPr="00C74D65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66D1" w14:textId="77777777" w:rsidR="00E7309E" w:rsidRDefault="00E7309E" w:rsidP="00C74D65">
      <w:pPr>
        <w:spacing w:line="240" w:lineRule="auto"/>
      </w:pPr>
      <w:r>
        <w:separator/>
      </w:r>
    </w:p>
  </w:endnote>
  <w:endnote w:type="continuationSeparator" w:id="0">
    <w:p w14:paraId="4217DAB3" w14:textId="77777777" w:rsidR="00E7309E" w:rsidRDefault="00E7309E" w:rsidP="00C7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7A33" w14:textId="77777777" w:rsidR="00E7309E" w:rsidRDefault="00E7309E" w:rsidP="00C74D65">
      <w:pPr>
        <w:spacing w:line="240" w:lineRule="auto"/>
      </w:pPr>
      <w:r>
        <w:separator/>
      </w:r>
    </w:p>
  </w:footnote>
  <w:footnote w:type="continuationSeparator" w:id="0">
    <w:p w14:paraId="2899F339" w14:textId="77777777" w:rsidR="00E7309E" w:rsidRDefault="00E7309E" w:rsidP="00C74D65">
      <w:pPr>
        <w:spacing w:line="240" w:lineRule="auto"/>
      </w:pPr>
      <w:r>
        <w:continuationSeparator/>
      </w:r>
    </w:p>
  </w:footnote>
  <w:footnote w:id="1">
    <w:p w14:paraId="3B95B270" w14:textId="792A30D2" w:rsidR="00C74D65" w:rsidRPr="00C74D65" w:rsidRDefault="00C74D65">
      <w:pPr>
        <w:pStyle w:val="FootnoteText"/>
        <w:rPr>
          <w:rFonts w:ascii="Archivo" w:hAnsi="Archivo" w:cs="Archivo"/>
          <w:sz w:val="18"/>
          <w:szCs w:val="18"/>
          <w:lang w:val="en-IE"/>
        </w:rPr>
      </w:pPr>
      <w:r w:rsidRPr="00C74D65">
        <w:rPr>
          <w:rStyle w:val="FootnoteReference"/>
          <w:rFonts w:ascii="Archivo" w:hAnsi="Archivo" w:cs="Archivo"/>
          <w:sz w:val="18"/>
          <w:szCs w:val="18"/>
        </w:rPr>
        <w:footnoteRef/>
      </w:r>
      <w:r w:rsidRPr="00C74D65">
        <w:rPr>
          <w:rFonts w:ascii="Archivo" w:hAnsi="Archivo" w:cs="Archivo"/>
          <w:sz w:val="18"/>
          <w:szCs w:val="18"/>
        </w:rPr>
        <w:t xml:space="preserve"> This template is referenced as Appendix </w:t>
      </w:r>
      <w:r w:rsidR="00F34F3E">
        <w:rPr>
          <w:rFonts w:ascii="Archivo" w:hAnsi="Archivo" w:cs="Archivo"/>
          <w:sz w:val="18"/>
          <w:szCs w:val="18"/>
        </w:rPr>
        <w:t>4</w:t>
      </w:r>
      <w:r w:rsidRPr="00C74D65">
        <w:rPr>
          <w:rFonts w:ascii="Archivo" w:hAnsi="Archivo" w:cs="Archivo"/>
          <w:sz w:val="18"/>
          <w:szCs w:val="18"/>
        </w:rPr>
        <w:t xml:space="preserve"> in the </w:t>
      </w:r>
      <w:r w:rsidRPr="003C2FF9">
        <w:rPr>
          <w:rFonts w:ascii="Archivo" w:hAnsi="Archivo" w:cs="Archivo"/>
          <w:i/>
          <w:iCs/>
          <w:sz w:val="18"/>
          <w:szCs w:val="18"/>
        </w:rPr>
        <w:t>CIF Guidance on the Lift and Shift of Electrical Equipment</w:t>
      </w:r>
      <w:r w:rsidRPr="00C74D65">
        <w:rPr>
          <w:rFonts w:ascii="Archivo" w:hAnsi="Archivo" w:cs="Archivo"/>
          <w:sz w:val="18"/>
          <w:szCs w:val="18"/>
        </w:rPr>
        <w:t xml:space="preserve">. Available at: </w:t>
      </w:r>
      <w:hyperlink r:id="rId1" w:history="1">
        <w:r w:rsidRPr="00C74D65">
          <w:rPr>
            <w:rStyle w:val="Hyperlink"/>
            <w:rFonts w:ascii="Archivo" w:hAnsi="Archivo" w:cs="Archivo"/>
            <w:sz w:val="18"/>
            <w:szCs w:val="18"/>
            <w:lang w:val="en-IE"/>
          </w:rPr>
          <w:t>https://cif.ie/</w:t>
        </w:r>
      </w:hyperlink>
      <w:r w:rsidRPr="00C74D65">
        <w:rPr>
          <w:rFonts w:ascii="Archivo" w:hAnsi="Archivo" w:cs="Archivo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4ED" w14:textId="012C4425" w:rsidR="00C74D65" w:rsidRDefault="00E7309E">
    <w:pPr>
      <w:pStyle w:val="Header"/>
    </w:pPr>
    <w:r>
      <w:rPr>
        <w:noProof/>
      </w:rPr>
      <w:pict w14:anchorId="247A4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7516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AF55" w14:textId="4575F047" w:rsidR="00C74D65" w:rsidRDefault="00E7309E">
    <w:pPr>
      <w:pStyle w:val="Header"/>
    </w:pPr>
    <w:r>
      <w:rPr>
        <w:noProof/>
      </w:rPr>
      <w:pict w14:anchorId="7337F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87515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3DDF"/>
    <w:multiLevelType w:val="hybridMultilevel"/>
    <w:tmpl w:val="A5DC8E4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3247E"/>
    <w:multiLevelType w:val="hybridMultilevel"/>
    <w:tmpl w:val="675C911C"/>
    <w:lvl w:ilvl="0" w:tplc="1280F650">
      <w:numFmt w:val="bullet"/>
      <w:lvlText w:val="-"/>
      <w:lvlJc w:val="left"/>
      <w:pPr>
        <w:ind w:left="360" w:hanging="360"/>
      </w:pPr>
      <w:rPr>
        <w:rFonts w:ascii="Archivo" w:eastAsiaTheme="minorHAnsi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56114"/>
    <w:multiLevelType w:val="hybridMultilevel"/>
    <w:tmpl w:val="2154F988"/>
    <w:lvl w:ilvl="0" w:tplc="1280F650">
      <w:numFmt w:val="bullet"/>
      <w:lvlText w:val="-"/>
      <w:lvlJc w:val="left"/>
      <w:pPr>
        <w:ind w:left="720" w:hanging="360"/>
      </w:pPr>
      <w:rPr>
        <w:rFonts w:ascii="Archivo" w:eastAsiaTheme="minorHAnsi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4591"/>
    <w:multiLevelType w:val="hybridMultilevel"/>
    <w:tmpl w:val="FBBABE54"/>
    <w:lvl w:ilvl="0" w:tplc="45C069F8">
      <w:numFmt w:val="bullet"/>
      <w:lvlText w:val="-"/>
      <w:lvlJc w:val="left"/>
      <w:pPr>
        <w:ind w:left="720" w:hanging="360"/>
      </w:pPr>
      <w:rPr>
        <w:rFonts w:ascii="Archivo" w:eastAsia="Times New Roman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C7FEC"/>
    <w:multiLevelType w:val="hybridMultilevel"/>
    <w:tmpl w:val="BB2E8804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907B9"/>
    <w:multiLevelType w:val="hybridMultilevel"/>
    <w:tmpl w:val="DBB40E8A"/>
    <w:lvl w:ilvl="0" w:tplc="1280F650">
      <w:numFmt w:val="bullet"/>
      <w:lvlText w:val="-"/>
      <w:lvlJc w:val="left"/>
      <w:pPr>
        <w:ind w:left="360" w:hanging="360"/>
      </w:pPr>
      <w:rPr>
        <w:rFonts w:ascii="Archivo" w:eastAsiaTheme="minorHAnsi" w:hAnsi="Archivo" w:cs="Archivo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90D8A"/>
    <w:multiLevelType w:val="hybridMultilevel"/>
    <w:tmpl w:val="FD64A7AA"/>
    <w:lvl w:ilvl="0" w:tplc="6D92E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5590"/>
    <w:multiLevelType w:val="hybridMultilevel"/>
    <w:tmpl w:val="9FCAB0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B61C9"/>
    <w:multiLevelType w:val="hybridMultilevel"/>
    <w:tmpl w:val="46BCFFE6"/>
    <w:lvl w:ilvl="0" w:tplc="6D92E6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B69AC"/>
    <w:multiLevelType w:val="hybridMultilevel"/>
    <w:tmpl w:val="8138C4B2"/>
    <w:lvl w:ilvl="0" w:tplc="45C069F8">
      <w:numFmt w:val="bullet"/>
      <w:lvlText w:val="-"/>
      <w:lvlJc w:val="left"/>
      <w:pPr>
        <w:ind w:left="720" w:hanging="360"/>
      </w:pPr>
      <w:rPr>
        <w:rFonts w:ascii="Archivo" w:eastAsia="Times New Roman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42C89"/>
    <w:multiLevelType w:val="hybridMultilevel"/>
    <w:tmpl w:val="7E561D1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B04548"/>
    <w:multiLevelType w:val="hybridMultilevel"/>
    <w:tmpl w:val="3D988060"/>
    <w:lvl w:ilvl="0" w:tplc="1280F650">
      <w:numFmt w:val="bullet"/>
      <w:lvlText w:val="-"/>
      <w:lvlJc w:val="left"/>
      <w:pPr>
        <w:ind w:left="360" w:hanging="360"/>
      </w:pPr>
      <w:rPr>
        <w:rFonts w:ascii="Archivo" w:eastAsiaTheme="minorHAnsi" w:hAnsi="Archivo" w:cs="Archivo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E76D4"/>
    <w:multiLevelType w:val="hybridMultilevel"/>
    <w:tmpl w:val="C99259A4"/>
    <w:lvl w:ilvl="0" w:tplc="1280F650">
      <w:numFmt w:val="bullet"/>
      <w:lvlText w:val="-"/>
      <w:lvlJc w:val="left"/>
      <w:pPr>
        <w:ind w:left="720" w:hanging="360"/>
      </w:pPr>
      <w:rPr>
        <w:rFonts w:ascii="Archivo" w:eastAsiaTheme="minorHAnsi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47234"/>
    <w:multiLevelType w:val="hybridMultilevel"/>
    <w:tmpl w:val="13B0C458"/>
    <w:lvl w:ilvl="0" w:tplc="1280F650">
      <w:numFmt w:val="bullet"/>
      <w:lvlText w:val="-"/>
      <w:lvlJc w:val="left"/>
      <w:pPr>
        <w:ind w:left="360" w:hanging="360"/>
      </w:pPr>
      <w:rPr>
        <w:rFonts w:ascii="Archivo" w:eastAsiaTheme="minorHAnsi" w:hAnsi="Archivo" w:cs="Archivo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FA6B8C"/>
    <w:multiLevelType w:val="hybridMultilevel"/>
    <w:tmpl w:val="3772A328"/>
    <w:lvl w:ilvl="0" w:tplc="45C069F8">
      <w:numFmt w:val="bullet"/>
      <w:lvlText w:val="-"/>
      <w:lvlJc w:val="left"/>
      <w:pPr>
        <w:ind w:left="720" w:hanging="360"/>
      </w:pPr>
      <w:rPr>
        <w:rFonts w:ascii="Archivo" w:eastAsia="Times New Roman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E405B"/>
    <w:multiLevelType w:val="hybridMultilevel"/>
    <w:tmpl w:val="590CA97E"/>
    <w:lvl w:ilvl="0" w:tplc="1280F650">
      <w:numFmt w:val="bullet"/>
      <w:lvlText w:val="-"/>
      <w:lvlJc w:val="left"/>
      <w:pPr>
        <w:ind w:left="720" w:hanging="360"/>
      </w:pPr>
      <w:rPr>
        <w:rFonts w:ascii="Archivo" w:eastAsiaTheme="minorHAnsi" w:hAnsi="Archivo" w:cs="Archiv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27813">
    <w:abstractNumId w:val="10"/>
  </w:num>
  <w:num w:numId="2" w16cid:durableId="1620451992">
    <w:abstractNumId w:val="7"/>
  </w:num>
  <w:num w:numId="3" w16cid:durableId="1662196371">
    <w:abstractNumId w:val="6"/>
  </w:num>
  <w:num w:numId="4" w16cid:durableId="1771778313">
    <w:abstractNumId w:val="8"/>
  </w:num>
  <w:num w:numId="5" w16cid:durableId="1765760383">
    <w:abstractNumId w:val="0"/>
  </w:num>
  <w:num w:numId="6" w16cid:durableId="1159425423">
    <w:abstractNumId w:val="4"/>
  </w:num>
  <w:num w:numId="7" w16cid:durableId="1683045771">
    <w:abstractNumId w:val="5"/>
  </w:num>
  <w:num w:numId="8" w16cid:durableId="1717050091">
    <w:abstractNumId w:val="13"/>
  </w:num>
  <w:num w:numId="9" w16cid:durableId="1508793226">
    <w:abstractNumId w:val="15"/>
  </w:num>
  <w:num w:numId="10" w16cid:durableId="265386538">
    <w:abstractNumId w:val="12"/>
  </w:num>
  <w:num w:numId="11" w16cid:durableId="320427816">
    <w:abstractNumId w:val="11"/>
  </w:num>
  <w:num w:numId="12" w16cid:durableId="265962371">
    <w:abstractNumId w:val="1"/>
  </w:num>
  <w:num w:numId="13" w16cid:durableId="866142987">
    <w:abstractNumId w:val="2"/>
  </w:num>
  <w:num w:numId="14" w16cid:durableId="974139207">
    <w:abstractNumId w:val="14"/>
  </w:num>
  <w:num w:numId="15" w16cid:durableId="1541242149">
    <w:abstractNumId w:val="3"/>
  </w:num>
  <w:num w:numId="16" w16cid:durableId="1514880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3"/>
    <w:rsid w:val="00060C8E"/>
    <w:rsid w:val="000B061D"/>
    <w:rsid w:val="000D293F"/>
    <w:rsid w:val="0023739C"/>
    <w:rsid w:val="00374060"/>
    <w:rsid w:val="00377D3B"/>
    <w:rsid w:val="003B0EA6"/>
    <w:rsid w:val="003C2FF9"/>
    <w:rsid w:val="00422CE8"/>
    <w:rsid w:val="00454A63"/>
    <w:rsid w:val="004B0AC7"/>
    <w:rsid w:val="005800E2"/>
    <w:rsid w:val="005E3C2F"/>
    <w:rsid w:val="00617394"/>
    <w:rsid w:val="006C1A0F"/>
    <w:rsid w:val="00922C25"/>
    <w:rsid w:val="009309CB"/>
    <w:rsid w:val="009310AC"/>
    <w:rsid w:val="009549A6"/>
    <w:rsid w:val="009A38F0"/>
    <w:rsid w:val="00BB5C7D"/>
    <w:rsid w:val="00C74D65"/>
    <w:rsid w:val="00D973A4"/>
    <w:rsid w:val="00DA4D10"/>
    <w:rsid w:val="00E7309E"/>
    <w:rsid w:val="00EF4225"/>
    <w:rsid w:val="00F124AD"/>
    <w:rsid w:val="00F34F3E"/>
    <w:rsid w:val="00F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D138"/>
  <w15:chartTrackingRefBased/>
  <w15:docId w15:val="{B9ECF0E6-0B8A-4464-82FE-1530CF95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63"/>
    <w:pPr>
      <w:spacing w:after="0" w:line="260" w:lineRule="exact"/>
    </w:pPr>
    <w:rPr>
      <w:rFonts w:cstheme="minorHAnsi"/>
      <w:color w:val="0E2841" w:themeColor="text2"/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54A63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D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65"/>
    <w:rPr>
      <w:rFonts w:cstheme="minorHAnsi"/>
      <w:color w:val="0E2841" w:themeColor="text2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4D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65"/>
    <w:rPr>
      <w:rFonts w:cstheme="minorHAnsi"/>
      <w:color w:val="0E2841" w:themeColor="text2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D6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D65"/>
    <w:rPr>
      <w:rFonts w:cstheme="minorHAnsi"/>
      <w:color w:val="0E2841" w:themeColor="text2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74D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4D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if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12F8-18EC-438C-8A26-58B329CF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Egan</dc:creator>
  <cp:keywords/>
  <dc:description/>
  <cp:lastModifiedBy>John Egan</cp:lastModifiedBy>
  <cp:revision>9</cp:revision>
  <dcterms:created xsi:type="dcterms:W3CDTF">2026-06-10T11:43:00Z</dcterms:created>
  <dcterms:modified xsi:type="dcterms:W3CDTF">2026-06-10T12:03:00Z</dcterms:modified>
</cp:coreProperties>
</file>