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31AD" w14:textId="0CC56C01" w:rsidR="002760FF" w:rsidRPr="007C6D5A" w:rsidRDefault="007C6D5A" w:rsidP="002760FF">
      <w:pPr>
        <w:pStyle w:val="Caption"/>
        <w:jc w:val="both"/>
        <w:rPr>
          <w:rFonts w:asciiTheme="minorHAnsi" w:hAnsiTheme="minorHAnsi" w:cstheme="minorHAnsi"/>
          <w:bCs w:val="0"/>
          <w:color w:val="222A35" w:themeColor="text2" w:themeShade="80"/>
          <w:sz w:val="36"/>
          <w:szCs w:val="36"/>
        </w:rPr>
      </w:pPr>
      <w:r w:rsidRPr="007C6D5A">
        <w:rPr>
          <w:rFonts w:asciiTheme="minorHAnsi" w:hAnsiTheme="minorHAnsi" w:cstheme="minorHAnsi"/>
          <w:bCs w:val="0"/>
          <w:noProof/>
          <w:color w:val="222A35" w:themeColor="text2" w:themeShade="80"/>
          <w:sz w:val="36"/>
          <w:szCs w:val="36"/>
        </w:rPr>
        <w:t>M</w:t>
      </w:r>
      <w:r>
        <w:rPr>
          <w:rFonts w:asciiTheme="minorHAnsi" w:hAnsiTheme="minorHAnsi" w:cstheme="minorHAnsi"/>
          <w:bCs w:val="0"/>
          <w:noProof/>
          <w:color w:val="222A35" w:themeColor="text2" w:themeShade="80"/>
          <w:sz w:val="36"/>
          <w:szCs w:val="36"/>
        </w:rPr>
        <w:t>arch</w:t>
      </w:r>
      <w:r w:rsidRPr="007C6D5A">
        <w:rPr>
          <w:rFonts w:asciiTheme="minorHAnsi" w:hAnsiTheme="minorHAnsi" w:cstheme="minorHAnsi"/>
          <w:bCs w:val="0"/>
          <w:noProof/>
          <w:color w:val="222A35" w:themeColor="text2" w:themeShade="80"/>
          <w:sz w:val="36"/>
          <w:szCs w:val="36"/>
        </w:rPr>
        <w:t xml:space="preserve"> 20</w:t>
      </w:r>
      <w:r w:rsidRPr="007C6D5A">
        <w:rPr>
          <w:rFonts w:asciiTheme="minorHAnsi" w:hAnsiTheme="minorHAnsi" w:cstheme="minorHAnsi"/>
          <w:bCs w:val="0"/>
          <w:noProof/>
          <w:color w:val="222A35" w:themeColor="text2" w:themeShade="80"/>
          <w:sz w:val="36"/>
          <w:szCs w:val="36"/>
        </w:rPr>
        <w:t>23 T</w:t>
      </w:r>
      <w:r>
        <w:rPr>
          <w:rFonts w:asciiTheme="minorHAnsi" w:hAnsiTheme="minorHAnsi" w:cstheme="minorHAnsi"/>
          <w:bCs w:val="0"/>
          <w:noProof/>
          <w:color w:val="222A35" w:themeColor="text2" w:themeShade="80"/>
          <w:sz w:val="36"/>
          <w:szCs w:val="36"/>
        </w:rPr>
        <w:t xml:space="preserve">oolbox </w:t>
      </w:r>
      <w:r w:rsidRPr="007C6D5A">
        <w:rPr>
          <w:rFonts w:asciiTheme="minorHAnsi" w:hAnsiTheme="minorHAnsi" w:cstheme="minorHAnsi"/>
          <w:bCs w:val="0"/>
          <w:noProof/>
          <w:color w:val="222A35" w:themeColor="text2" w:themeShade="80"/>
          <w:sz w:val="36"/>
          <w:szCs w:val="36"/>
        </w:rPr>
        <w:t>T</w:t>
      </w:r>
      <w:r>
        <w:rPr>
          <w:rFonts w:asciiTheme="minorHAnsi" w:hAnsiTheme="minorHAnsi" w:cstheme="minorHAnsi"/>
          <w:bCs w:val="0"/>
          <w:noProof/>
          <w:color w:val="222A35" w:themeColor="text2" w:themeShade="80"/>
          <w:sz w:val="36"/>
          <w:szCs w:val="36"/>
        </w:rPr>
        <w:t>alk</w:t>
      </w:r>
      <w:r w:rsidRPr="007C6D5A">
        <w:rPr>
          <w:rFonts w:asciiTheme="minorHAnsi" w:hAnsiTheme="minorHAnsi" w:cstheme="minorHAnsi"/>
          <w:bCs w:val="0"/>
          <w:noProof/>
          <w:color w:val="222A35" w:themeColor="text2" w:themeShade="80"/>
          <w:sz w:val="36"/>
          <w:szCs w:val="36"/>
        </w:rPr>
        <w:t xml:space="preserve"> </w:t>
      </w:r>
      <w:r>
        <w:rPr>
          <w:rFonts w:asciiTheme="minorHAnsi" w:hAnsiTheme="minorHAnsi" w:cstheme="minorHAnsi"/>
          <w:bCs w:val="0"/>
          <w:noProof/>
          <w:color w:val="222A35" w:themeColor="text2" w:themeShade="80"/>
          <w:sz w:val="36"/>
          <w:szCs w:val="36"/>
        </w:rPr>
        <w:t>-</w:t>
      </w:r>
      <w:r w:rsidRPr="007C6D5A">
        <w:rPr>
          <w:rFonts w:asciiTheme="minorHAnsi" w:hAnsiTheme="minorHAnsi" w:cstheme="minorHAnsi"/>
          <w:bCs w:val="0"/>
          <w:noProof/>
          <w:color w:val="222A35" w:themeColor="text2" w:themeShade="80"/>
          <w:sz w:val="36"/>
          <w:szCs w:val="36"/>
        </w:rPr>
        <w:t xml:space="preserve"> ‘</w:t>
      </w:r>
      <w:r w:rsidR="002760FF" w:rsidRPr="007C6D5A">
        <w:rPr>
          <w:rFonts w:asciiTheme="minorHAnsi" w:hAnsiTheme="minorHAnsi" w:cstheme="minorHAnsi"/>
          <w:bCs w:val="0"/>
          <w:noProof/>
          <w:color w:val="222A35" w:themeColor="text2" w:themeShade="80"/>
          <w:sz w:val="36"/>
          <w:szCs w:val="36"/>
        </w:rPr>
        <w:drawing>
          <wp:anchor distT="0" distB="0" distL="114300" distR="114300" simplePos="0" relativeHeight="251658240" behindDoc="1" locked="0" layoutInCell="1" allowOverlap="1" wp14:anchorId="11C394AF" wp14:editId="5678C394">
            <wp:simplePos x="0" y="0"/>
            <wp:positionH relativeFrom="column">
              <wp:posOffset>4981575</wp:posOffset>
            </wp:positionH>
            <wp:positionV relativeFrom="paragraph">
              <wp:posOffset>-438150</wp:posOffset>
            </wp:positionV>
            <wp:extent cx="952500" cy="952500"/>
            <wp:effectExtent l="0" t="0" r="0" b="0"/>
            <wp:wrapNone/>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E24C0A" w:rsidRPr="007C6D5A">
        <w:rPr>
          <w:rFonts w:asciiTheme="minorHAnsi" w:hAnsiTheme="minorHAnsi" w:cstheme="minorHAnsi"/>
          <w:bCs w:val="0"/>
          <w:noProof/>
          <w:color w:val="222A35" w:themeColor="text2" w:themeShade="80"/>
          <w:sz w:val="36"/>
          <w:szCs w:val="36"/>
        </w:rPr>
        <w:t>Intoxicants at Work</w:t>
      </w:r>
      <w:r w:rsidRPr="007C6D5A">
        <w:rPr>
          <w:rFonts w:asciiTheme="minorHAnsi" w:hAnsiTheme="minorHAnsi" w:cstheme="minorHAnsi"/>
          <w:bCs w:val="0"/>
          <w:noProof/>
          <w:color w:val="222A35" w:themeColor="text2" w:themeShade="80"/>
          <w:sz w:val="36"/>
          <w:szCs w:val="36"/>
        </w:rPr>
        <w:t>’</w:t>
      </w:r>
    </w:p>
    <w:p w14:paraId="721A9A47" w14:textId="77777777" w:rsidR="002760FF" w:rsidRPr="00107DC1" w:rsidRDefault="002760FF" w:rsidP="002760FF">
      <w:pPr>
        <w:jc w:val="both"/>
        <w:rPr>
          <w:rFonts w:asciiTheme="minorHAnsi" w:hAnsiTheme="minorHAnsi" w:cstheme="minorHAns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0"/>
      </w:tblGrid>
      <w:tr w:rsidR="00803AC5" w:rsidRPr="00107DC1" w14:paraId="6D62927E" w14:textId="77777777" w:rsidTr="00805C48">
        <w:trPr>
          <w:trHeight w:val="295"/>
        </w:trPr>
        <w:tc>
          <w:tcPr>
            <w:tcW w:w="9356" w:type="dxa"/>
            <w:shd w:val="clear" w:color="auto" w:fill="44546A" w:themeFill="text2"/>
          </w:tcPr>
          <w:p w14:paraId="18B185B1" w14:textId="03BA66DC" w:rsidR="00803AC5" w:rsidRPr="00805C48" w:rsidRDefault="00803AC5" w:rsidP="00673D90">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Contributor</w:t>
            </w:r>
          </w:p>
        </w:tc>
      </w:tr>
      <w:tr w:rsidR="00803AC5" w:rsidRPr="00107DC1" w14:paraId="447608EF" w14:textId="77777777" w:rsidTr="00803AC5">
        <w:trPr>
          <w:trHeight w:val="295"/>
        </w:trPr>
        <w:tc>
          <w:tcPr>
            <w:tcW w:w="9356" w:type="dxa"/>
            <w:shd w:val="clear" w:color="auto" w:fill="auto"/>
          </w:tcPr>
          <w:p w14:paraId="799AD8A4" w14:textId="2108CA1C" w:rsidR="00DE7AEC" w:rsidRPr="007C6D5A" w:rsidRDefault="007C6D5A" w:rsidP="007C6D5A">
            <w:pPr>
              <w:spacing w:before="120" w:after="120" w:line="259" w:lineRule="auto"/>
              <w:ind w:right="1882"/>
              <w:rPr>
                <w:rFonts w:asciiTheme="minorHAnsi" w:hAnsiTheme="minorHAnsi" w:cstheme="minorHAnsi"/>
                <w:bCs/>
              </w:rPr>
            </w:pPr>
            <w:r>
              <w:rPr>
                <w:rFonts w:asciiTheme="minorHAnsi" w:hAnsiTheme="minorHAnsi" w:cstheme="minorHAnsi"/>
                <w:bCs/>
              </w:rPr>
              <w:t>Ra</w:t>
            </w:r>
            <w:r w:rsidRPr="007C6D5A">
              <w:rPr>
                <w:rFonts w:asciiTheme="minorHAnsi" w:hAnsiTheme="minorHAnsi" w:cstheme="minorHAnsi"/>
                <w:bCs/>
              </w:rPr>
              <w:t>ymond Moore, Project HSE Advisor, Walls Construction</w:t>
            </w:r>
            <w:r>
              <w:rPr>
                <w:rFonts w:asciiTheme="minorHAnsi" w:hAnsiTheme="minorHAnsi" w:cstheme="minorHAnsi"/>
                <w:bCs/>
              </w:rPr>
              <w:t>.</w:t>
            </w:r>
          </w:p>
        </w:tc>
      </w:tr>
      <w:tr w:rsidR="002760FF" w:rsidRPr="00107DC1" w14:paraId="143FD898" w14:textId="77777777" w:rsidTr="00805C48">
        <w:trPr>
          <w:trHeight w:val="295"/>
        </w:trPr>
        <w:tc>
          <w:tcPr>
            <w:tcW w:w="9356" w:type="dxa"/>
            <w:shd w:val="clear" w:color="auto" w:fill="44546A" w:themeFill="text2"/>
          </w:tcPr>
          <w:p w14:paraId="019D8D3C" w14:textId="402C6B87" w:rsidR="002760FF" w:rsidRPr="00107DC1" w:rsidRDefault="00DE7AEC" w:rsidP="00673D90">
            <w:pPr>
              <w:rPr>
                <w:rFonts w:asciiTheme="minorHAnsi" w:hAnsiTheme="minorHAnsi" w:cstheme="minorHAnsi"/>
                <w:b/>
              </w:rPr>
            </w:pPr>
            <w:bookmarkStart w:id="0" w:name="_Hlk124341619"/>
            <w:r>
              <w:rPr>
                <w:rFonts w:asciiTheme="minorHAnsi" w:hAnsiTheme="minorHAnsi" w:cstheme="minorHAnsi"/>
                <w:b/>
                <w:color w:val="FFFFFF" w:themeColor="background1"/>
                <w:sz w:val="28"/>
                <w:szCs w:val="28"/>
              </w:rPr>
              <w:t>Potential Hazards</w:t>
            </w:r>
            <w:r w:rsidR="005C651F">
              <w:rPr>
                <w:rFonts w:asciiTheme="minorHAnsi" w:hAnsiTheme="minorHAnsi" w:cstheme="minorHAnsi"/>
                <w:b/>
                <w:color w:val="FFFFFF" w:themeColor="background1"/>
                <w:sz w:val="28"/>
                <w:szCs w:val="28"/>
              </w:rPr>
              <w:t xml:space="preserve">: </w:t>
            </w:r>
          </w:p>
        </w:tc>
      </w:tr>
      <w:tr w:rsidR="002760FF" w:rsidRPr="00107DC1" w14:paraId="1A30279A" w14:textId="77777777" w:rsidTr="00DE7AEC">
        <w:trPr>
          <w:trHeight w:val="2103"/>
        </w:trPr>
        <w:tc>
          <w:tcPr>
            <w:tcW w:w="9356" w:type="dxa"/>
            <w:shd w:val="clear" w:color="auto" w:fill="auto"/>
          </w:tcPr>
          <w:p w14:paraId="2F1AF0CD" w14:textId="77777777" w:rsidR="007C6D5A" w:rsidRDefault="00E24C0A" w:rsidP="007C6D5A">
            <w:pPr>
              <w:spacing w:before="120" w:after="120" w:line="259" w:lineRule="auto"/>
              <w:ind w:right="184"/>
              <w:jc w:val="both"/>
              <w:rPr>
                <w:rFonts w:asciiTheme="minorHAnsi" w:hAnsiTheme="minorHAnsi" w:cstheme="minorHAnsi"/>
                <w:bCs/>
              </w:rPr>
            </w:pPr>
            <w:r w:rsidRPr="007C6D5A">
              <w:rPr>
                <w:rFonts w:asciiTheme="minorHAnsi" w:hAnsiTheme="minorHAnsi" w:cstheme="minorHAnsi"/>
                <w:bCs/>
              </w:rPr>
              <w:t>Currently, Ireland has no health and safety legislation that requires employers to test employees for intoxicants. Because of this, most Irish organisations choose not to implement policies to test their staff for the presence of such substances. </w:t>
            </w:r>
          </w:p>
          <w:p w14:paraId="5F571B19" w14:textId="77777777" w:rsidR="007C6D5A" w:rsidRDefault="00E24C0A" w:rsidP="007C6D5A">
            <w:pPr>
              <w:spacing w:before="120" w:after="120" w:line="259" w:lineRule="auto"/>
              <w:ind w:right="184"/>
              <w:jc w:val="both"/>
              <w:rPr>
                <w:rFonts w:asciiTheme="minorHAnsi" w:hAnsiTheme="minorHAnsi" w:cstheme="minorHAnsi"/>
                <w:bCs/>
              </w:rPr>
            </w:pPr>
            <w:proofErr w:type="gramStart"/>
            <w:r w:rsidRPr="007C6D5A">
              <w:rPr>
                <w:rFonts w:asciiTheme="minorHAnsi" w:hAnsiTheme="minorHAnsi" w:cstheme="minorHAnsi"/>
                <w:bCs/>
              </w:rPr>
              <w:t>In the event that</w:t>
            </w:r>
            <w:proofErr w:type="gramEnd"/>
            <w:r w:rsidRPr="007C6D5A">
              <w:rPr>
                <w:rFonts w:asciiTheme="minorHAnsi" w:hAnsiTheme="minorHAnsi" w:cstheme="minorHAnsi"/>
                <w:bCs/>
              </w:rPr>
              <w:t xml:space="preserve"> an employee is intoxicated while at work, it can pose several serious health and safety risks. These risks include stress, aggression or violence, and danger while driving, operating machinery, or working at height. </w:t>
            </w:r>
          </w:p>
          <w:p w14:paraId="50E75042" w14:textId="2BB77137" w:rsidR="007C6D5A" w:rsidRPr="007C6D5A" w:rsidRDefault="00E24C0A" w:rsidP="007C6D5A">
            <w:pPr>
              <w:spacing w:before="120" w:after="120" w:line="259" w:lineRule="auto"/>
              <w:ind w:right="184"/>
              <w:jc w:val="both"/>
              <w:rPr>
                <w:rFonts w:asciiTheme="minorHAnsi" w:hAnsiTheme="minorHAnsi" w:cstheme="minorHAnsi"/>
                <w:bCs/>
              </w:rPr>
            </w:pPr>
            <w:r w:rsidRPr="007C6D5A">
              <w:rPr>
                <w:rFonts w:asciiTheme="minorHAnsi" w:hAnsiTheme="minorHAnsi" w:cstheme="minorHAnsi"/>
                <w:bCs/>
              </w:rPr>
              <w:t xml:space="preserve">Disciplinary action is usually served </w:t>
            </w:r>
            <w:proofErr w:type="gramStart"/>
            <w:r w:rsidRPr="007C6D5A">
              <w:rPr>
                <w:rFonts w:asciiTheme="minorHAnsi" w:hAnsiTheme="minorHAnsi" w:cstheme="minorHAnsi"/>
                <w:bCs/>
              </w:rPr>
              <w:t>on the basis of</w:t>
            </w:r>
            <w:proofErr w:type="gramEnd"/>
            <w:r w:rsidRPr="007C6D5A">
              <w:rPr>
                <w:rFonts w:asciiTheme="minorHAnsi" w:hAnsiTheme="minorHAnsi" w:cstheme="minorHAnsi"/>
                <w:bCs/>
              </w:rPr>
              <w:t xml:space="preserve"> work performance reviews or risk, rather than on the basis of alcohol and substance abuse. So as an employer, what are your duties regarding intoxicants at work? </w:t>
            </w:r>
          </w:p>
          <w:p w14:paraId="1FBDAB9D" w14:textId="77777777" w:rsidR="007C6D5A" w:rsidRDefault="007C6D5A" w:rsidP="007C6D5A">
            <w:pPr>
              <w:spacing w:before="120" w:after="120" w:line="259" w:lineRule="auto"/>
              <w:ind w:right="184"/>
              <w:jc w:val="both"/>
              <w:rPr>
                <w:rFonts w:asciiTheme="minorHAnsi" w:hAnsiTheme="minorHAnsi" w:cstheme="minorHAnsi"/>
                <w:b/>
                <w:bCs/>
              </w:rPr>
            </w:pPr>
          </w:p>
          <w:p w14:paraId="7CD16532" w14:textId="377F0A5F" w:rsidR="007C6D5A" w:rsidRDefault="00E24C0A" w:rsidP="007C6D5A">
            <w:pPr>
              <w:spacing w:before="120" w:after="120" w:line="259" w:lineRule="auto"/>
              <w:ind w:right="184"/>
              <w:jc w:val="both"/>
              <w:rPr>
                <w:rFonts w:asciiTheme="minorHAnsi" w:hAnsiTheme="minorHAnsi" w:cstheme="minorHAnsi"/>
                <w:b/>
                <w:bCs/>
              </w:rPr>
            </w:pPr>
            <w:r w:rsidRPr="00E24C0A">
              <w:rPr>
                <w:rFonts w:asciiTheme="minorHAnsi" w:hAnsiTheme="minorHAnsi" w:cstheme="minorHAnsi"/>
                <w:b/>
                <w:bCs/>
              </w:rPr>
              <w:t>Your Duties and Things to Look Out For</w:t>
            </w:r>
            <w:r w:rsidR="007C6D5A">
              <w:rPr>
                <w:rFonts w:asciiTheme="minorHAnsi" w:hAnsiTheme="minorHAnsi" w:cstheme="minorHAnsi"/>
                <w:b/>
                <w:bCs/>
              </w:rPr>
              <w:t>:</w:t>
            </w:r>
          </w:p>
          <w:p w14:paraId="2668E2E4" w14:textId="77777777" w:rsidR="007C6D5A" w:rsidRDefault="00E24C0A" w:rsidP="007C6D5A">
            <w:pPr>
              <w:spacing w:before="120" w:after="120" w:line="259" w:lineRule="auto"/>
              <w:ind w:right="184"/>
              <w:jc w:val="both"/>
              <w:rPr>
                <w:rFonts w:asciiTheme="minorHAnsi" w:hAnsiTheme="minorHAnsi" w:cstheme="minorHAnsi"/>
                <w:bCs/>
              </w:rPr>
            </w:pPr>
            <w:r w:rsidRPr="00E24C0A">
              <w:rPr>
                <w:rFonts w:asciiTheme="minorHAnsi" w:hAnsiTheme="minorHAnsi" w:cstheme="minorHAnsi"/>
                <w:bCs/>
              </w:rPr>
              <w:t xml:space="preserve">As an employer, you have a duty to ensure that employees are not under the influence of an intoxicant to a degree that could threaten safety, health and welfare in the workplace – and employers who knowingly allow employees to work under the influence of intoxicants could be liable to prosecution. </w:t>
            </w:r>
          </w:p>
          <w:p w14:paraId="2D9D03F0" w14:textId="65486C20" w:rsidR="00402B06" w:rsidRDefault="00E24C0A" w:rsidP="007C6D5A">
            <w:pPr>
              <w:spacing w:before="120" w:after="120" w:line="259" w:lineRule="auto"/>
              <w:ind w:right="184"/>
              <w:jc w:val="both"/>
              <w:rPr>
                <w:rFonts w:asciiTheme="minorHAnsi" w:hAnsiTheme="minorHAnsi" w:cstheme="minorHAnsi"/>
                <w:bCs/>
              </w:rPr>
            </w:pPr>
            <w:r w:rsidRPr="00E24C0A">
              <w:rPr>
                <w:rFonts w:asciiTheme="minorHAnsi" w:hAnsiTheme="minorHAnsi" w:cstheme="minorHAnsi"/>
                <w:bCs/>
              </w:rPr>
              <w:t>With this in mind, it’s important to be able to identify and observe signs of potential drug and alcohol use, such as:</w:t>
            </w:r>
          </w:p>
          <w:p w14:paraId="1C6B850E" w14:textId="77777777" w:rsid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Lateness and absenteeism</w:t>
            </w:r>
            <w:r w:rsidR="007C6D5A">
              <w:rPr>
                <w:rFonts w:asciiTheme="minorHAnsi" w:hAnsiTheme="minorHAnsi" w:cstheme="minorHAnsi"/>
                <w:bCs/>
                <w:lang w:val="en-IE"/>
              </w:rPr>
              <w:t>.</w:t>
            </w:r>
          </w:p>
          <w:p w14:paraId="5B6C836D" w14:textId="1C91BFC5"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7C6D5A">
              <w:rPr>
                <w:rFonts w:asciiTheme="minorHAnsi" w:hAnsiTheme="minorHAnsi" w:cstheme="minorHAnsi"/>
                <w:bCs/>
                <w:lang w:val="en-IE"/>
              </w:rPr>
              <w:t>Unreliability</w:t>
            </w:r>
            <w:r w:rsidR="007C6D5A">
              <w:rPr>
                <w:rFonts w:asciiTheme="minorHAnsi" w:hAnsiTheme="minorHAnsi" w:cstheme="minorHAnsi"/>
                <w:bCs/>
                <w:lang w:val="en-IE"/>
              </w:rPr>
              <w:t>.</w:t>
            </w:r>
          </w:p>
          <w:p w14:paraId="6C4240DB" w14:textId="338C2D78"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A decline in work performance</w:t>
            </w:r>
            <w:r w:rsidR="007C6D5A">
              <w:rPr>
                <w:rFonts w:asciiTheme="minorHAnsi" w:hAnsiTheme="minorHAnsi" w:cstheme="minorHAnsi"/>
                <w:bCs/>
                <w:lang w:val="en-IE"/>
              </w:rPr>
              <w:t>.</w:t>
            </w:r>
          </w:p>
          <w:p w14:paraId="6FB4C79F" w14:textId="7E4837F6"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Impaired concentration, memory, judgement, and physical coordination</w:t>
            </w:r>
            <w:r w:rsidR="007C6D5A">
              <w:rPr>
                <w:rFonts w:asciiTheme="minorHAnsi" w:hAnsiTheme="minorHAnsi" w:cstheme="minorHAnsi"/>
                <w:bCs/>
                <w:lang w:val="en-IE"/>
              </w:rPr>
              <w:t>.</w:t>
            </w:r>
          </w:p>
          <w:p w14:paraId="10D17D4F" w14:textId="0E0EE9A4"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Sudden mood changes</w:t>
            </w:r>
            <w:r w:rsidR="007C6D5A">
              <w:rPr>
                <w:rFonts w:asciiTheme="minorHAnsi" w:hAnsiTheme="minorHAnsi" w:cstheme="minorHAnsi"/>
                <w:bCs/>
                <w:lang w:val="en-IE"/>
              </w:rPr>
              <w:t>.</w:t>
            </w:r>
          </w:p>
          <w:p w14:paraId="3A79DD49" w14:textId="73948162"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Dishonesty and theft</w:t>
            </w:r>
            <w:r w:rsidR="007C6D5A">
              <w:rPr>
                <w:rFonts w:asciiTheme="minorHAnsi" w:hAnsiTheme="minorHAnsi" w:cstheme="minorHAnsi"/>
                <w:bCs/>
                <w:lang w:val="en-IE"/>
              </w:rPr>
              <w:t>.</w:t>
            </w:r>
          </w:p>
          <w:p w14:paraId="3D567BD4" w14:textId="724F8F5F" w:rsidR="00E24C0A" w:rsidRPr="007C6D5A" w:rsidRDefault="00E24C0A" w:rsidP="007C6D5A">
            <w:pPr>
              <w:numPr>
                <w:ilvl w:val="0"/>
                <w:numId w:val="7"/>
              </w:numPr>
              <w:spacing w:before="120" w:after="120" w:line="259" w:lineRule="auto"/>
              <w:ind w:right="184"/>
              <w:jc w:val="both"/>
              <w:rPr>
                <w:rFonts w:asciiTheme="minorHAnsi" w:hAnsiTheme="minorHAnsi" w:cstheme="minorHAnsi"/>
                <w:bCs/>
                <w:lang w:val="en-IE"/>
              </w:rPr>
            </w:pPr>
            <w:r w:rsidRPr="00E24C0A">
              <w:rPr>
                <w:rFonts w:asciiTheme="minorHAnsi" w:hAnsiTheme="minorHAnsi" w:cstheme="minorHAnsi"/>
                <w:bCs/>
                <w:lang w:val="en-IE"/>
              </w:rPr>
              <w:t>Increased number of errors and accidents</w:t>
            </w:r>
            <w:r w:rsidR="007C6D5A">
              <w:rPr>
                <w:rFonts w:asciiTheme="minorHAnsi" w:hAnsiTheme="minorHAnsi" w:cstheme="minorHAnsi"/>
                <w:bCs/>
                <w:lang w:val="en-IE"/>
              </w:rPr>
              <w:t>.</w:t>
            </w:r>
          </w:p>
          <w:p w14:paraId="6B8EE08E" w14:textId="3152B67B" w:rsidR="002536AD" w:rsidRPr="007C6D5A" w:rsidRDefault="00E24C0A" w:rsidP="007C6D5A">
            <w:pPr>
              <w:numPr>
                <w:ilvl w:val="0"/>
                <w:numId w:val="7"/>
              </w:numPr>
              <w:spacing w:before="120" w:after="240" w:line="259" w:lineRule="auto"/>
              <w:ind w:left="714" w:right="181" w:hanging="357"/>
              <w:jc w:val="both"/>
              <w:rPr>
                <w:rFonts w:asciiTheme="minorHAnsi" w:hAnsiTheme="minorHAnsi" w:cstheme="minorHAnsi"/>
                <w:bCs/>
                <w:lang w:val="en-IE"/>
              </w:rPr>
            </w:pPr>
            <w:r w:rsidRPr="00E24C0A">
              <w:rPr>
                <w:rFonts w:asciiTheme="minorHAnsi" w:hAnsiTheme="minorHAnsi" w:cstheme="minorHAnsi"/>
                <w:bCs/>
                <w:lang w:val="en-IE"/>
              </w:rPr>
              <w:t>Aggression or violence</w:t>
            </w:r>
            <w:r w:rsidR="007C6D5A">
              <w:rPr>
                <w:rFonts w:asciiTheme="minorHAnsi" w:hAnsiTheme="minorHAnsi" w:cstheme="minorHAnsi"/>
                <w:bCs/>
                <w:lang w:val="en-IE"/>
              </w:rPr>
              <w:t>.</w:t>
            </w:r>
          </w:p>
          <w:p w14:paraId="6204C1A8" w14:textId="77777777" w:rsidR="002536AD" w:rsidRPr="002536AD" w:rsidRDefault="002536AD" w:rsidP="007C6D5A">
            <w:pPr>
              <w:spacing w:before="120" w:after="120" w:line="259" w:lineRule="auto"/>
              <w:jc w:val="both"/>
              <w:rPr>
                <w:rFonts w:asciiTheme="minorHAnsi" w:hAnsiTheme="minorHAnsi" w:cstheme="minorHAnsi"/>
                <w:bCs/>
                <w:lang w:val="en-IE"/>
              </w:rPr>
            </w:pPr>
            <w:r w:rsidRPr="002536AD">
              <w:rPr>
                <w:rFonts w:asciiTheme="minorHAnsi" w:hAnsiTheme="minorHAnsi" w:cstheme="minorHAnsi"/>
                <w:bCs/>
                <w:lang w:val="en-IE"/>
              </w:rPr>
              <w:t>Problem drug taking will cause impairment, which can lead to poor decision making and concentration, negative health impacts to the worker, slower reaction times, and increased error rates.</w:t>
            </w:r>
          </w:p>
          <w:p w14:paraId="3483E606" w14:textId="77777777" w:rsidR="002536AD" w:rsidRDefault="002536AD" w:rsidP="007C6D5A">
            <w:pPr>
              <w:spacing w:before="120" w:after="120" w:line="259" w:lineRule="auto"/>
              <w:ind w:right="184"/>
              <w:jc w:val="both"/>
              <w:rPr>
                <w:rFonts w:asciiTheme="minorHAnsi" w:hAnsiTheme="minorHAnsi" w:cstheme="minorHAnsi"/>
                <w:bCs/>
                <w:lang w:val="en-IE"/>
              </w:rPr>
            </w:pPr>
            <w:r w:rsidRPr="002536AD">
              <w:rPr>
                <w:rFonts w:asciiTheme="minorHAnsi" w:hAnsiTheme="minorHAnsi" w:cstheme="minorHAnsi"/>
                <w:bCs/>
                <w:lang w:val="en-IE"/>
              </w:rPr>
              <w:t>Alcohol and the effects of alcohol at work is not only a hazard risk to yourself, but also your work colleagues. Alcohol abuse can have a significant impact not only to individuals but also to work colleagues and potentially their employers.</w:t>
            </w:r>
          </w:p>
          <w:p w14:paraId="7935A60D" w14:textId="2BD20E86" w:rsidR="007C6D5A" w:rsidRPr="000C5B82" w:rsidRDefault="007C6D5A" w:rsidP="007C6D5A">
            <w:pPr>
              <w:spacing w:before="120" w:after="120" w:line="259" w:lineRule="auto"/>
              <w:ind w:right="184"/>
              <w:jc w:val="both"/>
              <w:rPr>
                <w:rFonts w:asciiTheme="minorHAnsi" w:hAnsiTheme="minorHAnsi" w:cstheme="minorHAnsi"/>
                <w:bCs/>
                <w:lang w:val="en-IE"/>
              </w:rPr>
            </w:pPr>
          </w:p>
        </w:tc>
      </w:tr>
      <w:tr w:rsidR="00DE7AEC" w:rsidRPr="00107DC1" w14:paraId="26E9349D" w14:textId="77777777" w:rsidTr="0025611D">
        <w:trPr>
          <w:trHeight w:val="295"/>
        </w:trPr>
        <w:tc>
          <w:tcPr>
            <w:tcW w:w="9356" w:type="dxa"/>
            <w:shd w:val="clear" w:color="auto" w:fill="44546A" w:themeFill="text2"/>
          </w:tcPr>
          <w:p w14:paraId="0CEACDE3" w14:textId="419E3F59" w:rsidR="00DE7AEC" w:rsidRPr="00107DC1" w:rsidRDefault="00DE7AEC" w:rsidP="0025611D">
            <w:pPr>
              <w:rPr>
                <w:rFonts w:asciiTheme="minorHAnsi" w:hAnsiTheme="minorHAnsi" w:cstheme="minorHAnsi"/>
                <w:b/>
              </w:rPr>
            </w:pPr>
            <w:bookmarkStart w:id="1" w:name="_Hlk124341643"/>
            <w:bookmarkEnd w:id="0"/>
            <w:r>
              <w:rPr>
                <w:rFonts w:asciiTheme="minorHAnsi" w:hAnsiTheme="minorHAnsi" w:cstheme="minorHAnsi"/>
                <w:b/>
                <w:color w:val="FFFFFF" w:themeColor="background1"/>
                <w:sz w:val="28"/>
                <w:szCs w:val="28"/>
              </w:rPr>
              <w:lastRenderedPageBreak/>
              <w:t xml:space="preserve">High Risk Activities: </w:t>
            </w:r>
          </w:p>
        </w:tc>
      </w:tr>
      <w:tr w:rsidR="00DE7AEC" w:rsidRPr="000E1435" w14:paraId="60572BBD" w14:textId="77777777" w:rsidTr="00DE7AEC">
        <w:trPr>
          <w:trHeight w:val="2191"/>
        </w:trPr>
        <w:tc>
          <w:tcPr>
            <w:tcW w:w="9356" w:type="dxa"/>
            <w:shd w:val="clear" w:color="auto" w:fill="auto"/>
          </w:tcPr>
          <w:p w14:paraId="61944AB1" w14:textId="0DF46F23" w:rsidR="00DE7AEC"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Working at Height</w:t>
            </w:r>
            <w:r w:rsidR="007C6D5A">
              <w:rPr>
                <w:rFonts w:asciiTheme="minorHAnsi" w:hAnsiTheme="minorHAnsi" w:cstheme="minorHAnsi"/>
                <w:bCs/>
                <w:sz w:val="24"/>
                <w:szCs w:val="24"/>
              </w:rPr>
              <w:t>.</w:t>
            </w:r>
          </w:p>
          <w:p w14:paraId="78DADD55" w14:textId="75583A19"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Plant and Machinery</w:t>
            </w:r>
            <w:r w:rsidR="007C6D5A">
              <w:rPr>
                <w:rFonts w:asciiTheme="minorHAnsi" w:hAnsiTheme="minorHAnsi" w:cstheme="minorHAnsi"/>
                <w:bCs/>
                <w:sz w:val="24"/>
                <w:szCs w:val="24"/>
              </w:rPr>
              <w:t>.</w:t>
            </w:r>
          </w:p>
          <w:p w14:paraId="78B75449" w14:textId="54B9CD9D"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Slips and Trips</w:t>
            </w:r>
            <w:r w:rsidR="007C6D5A">
              <w:rPr>
                <w:rFonts w:asciiTheme="minorHAnsi" w:hAnsiTheme="minorHAnsi" w:cstheme="minorHAnsi"/>
                <w:bCs/>
                <w:sz w:val="24"/>
                <w:szCs w:val="24"/>
              </w:rPr>
              <w:t>.</w:t>
            </w:r>
          </w:p>
          <w:p w14:paraId="2AA7E1DF" w14:textId="7711D5AD"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Electricity</w:t>
            </w:r>
            <w:r w:rsidR="007C6D5A">
              <w:rPr>
                <w:rFonts w:asciiTheme="minorHAnsi" w:hAnsiTheme="minorHAnsi" w:cstheme="minorHAnsi"/>
                <w:bCs/>
                <w:sz w:val="24"/>
                <w:szCs w:val="24"/>
              </w:rPr>
              <w:t>.</w:t>
            </w:r>
          </w:p>
          <w:p w14:paraId="6BBEF560" w14:textId="023F3F4B"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Confined Spaces</w:t>
            </w:r>
            <w:r w:rsidR="007C6D5A">
              <w:rPr>
                <w:rFonts w:asciiTheme="minorHAnsi" w:hAnsiTheme="minorHAnsi" w:cstheme="minorHAnsi"/>
                <w:bCs/>
                <w:sz w:val="24"/>
                <w:szCs w:val="24"/>
              </w:rPr>
              <w:t>.</w:t>
            </w:r>
          </w:p>
          <w:p w14:paraId="0D0BC373" w14:textId="4F6BD405"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Manual Handling</w:t>
            </w:r>
            <w:r w:rsidR="007C6D5A">
              <w:rPr>
                <w:rFonts w:asciiTheme="minorHAnsi" w:hAnsiTheme="minorHAnsi" w:cstheme="minorHAnsi"/>
                <w:bCs/>
                <w:sz w:val="24"/>
                <w:szCs w:val="24"/>
              </w:rPr>
              <w:t>.</w:t>
            </w:r>
          </w:p>
          <w:p w14:paraId="3E199BAF" w14:textId="76B1B15C"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Driving to and from Work</w:t>
            </w:r>
            <w:r w:rsidR="007C6D5A">
              <w:rPr>
                <w:rFonts w:asciiTheme="minorHAnsi" w:hAnsiTheme="minorHAnsi" w:cstheme="minorHAnsi"/>
                <w:bCs/>
                <w:sz w:val="24"/>
                <w:szCs w:val="24"/>
              </w:rPr>
              <w:t>.</w:t>
            </w:r>
          </w:p>
          <w:p w14:paraId="38B71FC1" w14:textId="19EE1CB2" w:rsidR="000C5B82" w:rsidRPr="007C6D5A" w:rsidRDefault="000C5B82" w:rsidP="007C6D5A">
            <w:pPr>
              <w:pStyle w:val="ListParagraph"/>
              <w:numPr>
                <w:ilvl w:val="0"/>
                <w:numId w:val="8"/>
              </w:numPr>
              <w:spacing w:before="120" w:after="120"/>
              <w:ind w:right="181"/>
              <w:jc w:val="both"/>
              <w:rPr>
                <w:rFonts w:asciiTheme="minorHAnsi" w:hAnsiTheme="minorHAnsi" w:cstheme="minorHAnsi"/>
                <w:bCs/>
                <w:sz w:val="24"/>
                <w:szCs w:val="24"/>
              </w:rPr>
            </w:pPr>
            <w:r w:rsidRPr="007C6D5A">
              <w:rPr>
                <w:rFonts w:asciiTheme="minorHAnsi" w:hAnsiTheme="minorHAnsi" w:cstheme="minorHAnsi"/>
                <w:bCs/>
                <w:sz w:val="24"/>
                <w:szCs w:val="24"/>
              </w:rPr>
              <w:t>Working with the Public</w:t>
            </w:r>
            <w:r w:rsidR="007C6D5A">
              <w:rPr>
                <w:rFonts w:asciiTheme="minorHAnsi" w:hAnsiTheme="minorHAnsi" w:cstheme="minorHAnsi"/>
                <w:bCs/>
                <w:sz w:val="24"/>
                <w:szCs w:val="24"/>
              </w:rPr>
              <w:t>.</w:t>
            </w:r>
          </w:p>
          <w:p w14:paraId="5B9438E2" w14:textId="51D766D8" w:rsidR="000C5B82" w:rsidRPr="007C6D5A" w:rsidRDefault="00A66AD6" w:rsidP="007C6D5A">
            <w:pPr>
              <w:spacing w:before="120" w:after="120" w:line="259" w:lineRule="auto"/>
              <w:ind w:right="181"/>
              <w:jc w:val="both"/>
              <w:rPr>
                <w:rFonts w:asciiTheme="minorHAnsi" w:hAnsiTheme="minorHAnsi" w:cstheme="minorHAnsi"/>
                <w:bCs/>
              </w:rPr>
            </w:pPr>
            <w:r w:rsidRPr="007C6D5A">
              <w:rPr>
                <w:rFonts w:asciiTheme="minorHAnsi" w:hAnsiTheme="minorHAnsi" w:cstheme="minorHAnsi"/>
                <w:bCs/>
              </w:rPr>
              <w:t>The RISK o</w:t>
            </w:r>
            <w:r w:rsidR="002536AD" w:rsidRPr="007C6D5A">
              <w:rPr>
                <w:rFonts w:asciiTheme="minorHAnsi" w:hAnsiTheme="minorHAnsi" w:cstheme="minorHAnsi"/>
                <w:bCs/>
              </w:rPr>
              <w:t>f</w:t>
            </w:r>
            <w:r w:rsidRPr="007C6D5A">
              <w:rPr>
                <w:rFonts w:asciiTheme="minorHAnsi" w:hAnsiTheme="minorHAnsi" w:cstheme="minorHAnsi"/>
                <w:bCs/>
              </w:rPr>
              <w:t xml:space="preserve"> injury or loss of life is heightened when under the influence of Drugs or Alcohol</w:t>
            </w:r>
            <w:r w:rsidR="007C6D5A" w:rsidRPr="007C6D5A">
              <w:rPr>
                <w:rFonts w:asciiTheme="minorHAnsi" w:hAnsiTheme="minorHAnsi" w:cstheme="minorHAnsi"/>
                <w:bCs/>
              </w:rPr>
              <w:t>.</w:t>
            </w:r>
          </w:p>
        </w:tc>
      </w:tr>
      <w:bookmarkEnd w:id="1"/>
      <w:tr w:rsidR="00DE7AEC" w:rsidRPr="00107DC1" w14:paraId="50B7BFC1" w14:textId="77777777" w:rsidTr="0025611D">
        <w:trPr>
          <w:trHeight w:val="295"/>
        </w:trPr>
        <w:tc>
          <w:tcPr>
            <w:tcW w:w="9356" w:type="dxa"/>
            <w:shd w:val="clear" w:color="auto" w:fill="44546A" w:themeFill="text2"/>
          </w:tcPr>
          <w:p w14:paraId="4045CC34" w14:textId="199A0EFA" w:rsidR="00DE7AEC" w:rsidRPr="00107DC1" w:rsidRDefault="00DE7AEC" w:rsidP="0025611D">
            <w:pPr>
              <w:rPr>
                <w:rFonts w:asciiTheme="minorHAnsi" w:hAnsiTheme="minorHAnsi" w:cstheme="minorHAnsi"/>
                <w:b/>
              </w:rPr>
            </w:pPr>
            <w:r>
              <w:rPr>
                <w:rFonts w:asciiTheme="minorHAnsi" w:hAnsiTheme="minorHAnsi" w:cstheme="minorHAnsi"/>
                <w:b/>
                <w:color w:val="FFFFFF" w:themeColor="background1"/>
                <w:sz w:val="28"/>
                <w:szCs w:val="28"/>
              </w:rPr>
              <w:t xml:space="preserve">Control Measures: </w:t>
            </w:r>
          </w:p>
        </w:tc>
      </w:tr>
      <w:tr w:rsidR="00DE7AEC" w:rsidRPr="000E1435" w14:paraId="38568E1F" w14:textId="77777777" w:rsidTr="00DE7AEC">
        <w:trPr>
          <w:trHeight w:val="1995"/>
        </w:trPr>
        <w:tc>
          <w:tcPr>
            <w:tcW w:w="9356" w:type="dxa"/>
            <w:shd w:val="clear" w:color="auto" w:fill="auto"/>
          </w:tcPr>
          <w:p w14:paraId="11EBA39D" w14:textId="0A860D27" w:rsidR="000C5B82" w:rsidRPr="000C5B82" w:rsidRDefault="000C5B82" w:rsidP="007C6D5A">
            <w:pPr>
              <w:numPr>
                <w:ilvl w:val="0"/>
                <w:numId w:val="9"/>
              </w:numPr>
              <w:spacing w:before="120" w:after="120" w:line="259" w:lineRule="auto"/>
              <w:ind w:left="714" w:right="181" w:hanging="357"/>
              <w:jc w:val="both"/>
              <w:rPr>
                <w:rFonts w:asciiTheme="minorHAnsi" w:hAnsiTheme="minorHAnsi" w:cstheme="minorHAnsi"/>
                <w:bCs/>
                <w:lang w:val="en-IE"/>
              </w:rPr>
            </w:pPr>
            <w:r>
              <w:rPr>
                <w:rFonts w:asciiTheme="minorHAnsi" w:hAnsiTheme="minorHAnsi" w:cstheme="minorHAnsi"/>
                <w:bCs/>
                <w:lang w:val="en-IE"/>
              </w:rPr>
              <w:t>U</w:t>
            </w:r>
            <w:r w:rsidRPr="000C5B82">
              <w:rPr>
                <w:rFonts w:asciiTheme="minorHAnsi" w:hAnsiTheme="minorHAnsi" w:cstheme="minorHAnsi"/>
                <w:bCs/>
                <w:lang w:val="en-IE"/>
              </w:rPr>
              <w:t xml:space="preserve">nderstand How Substance Abuse Begins and Grows. </w:t>
            </w:r>
          </w:p>
          <w:p w14:paraId="17F0855F" w14:textId="59260A61" w:rsidR="000C5B82" w:rsidRPr="000C5B82" w:rsidRDefault="000C5B82" w:rsidP="007C6D5A">
            <w:pPr>
              <w:numPr>
                <w:ilvl w:val="0"/>
                <w:numId w:val="9"/>
              </w:numPr>
              <w:spacing w:before="120" w:after="120" w:line="259" w:lineRule="auto"/>
              <w:ind w:left="714" w:right="181" w:hanging="357"/>
              <w:jc w:val="both"/>
              <w:rPr>
                <w:rFonts w:asciiTheme="minorHAnsi" w:hAnsiTheme="minorHAnsi" w:cstheme="minorHAnsi"/>
                <w:bCs/>
                <w:lang w:val="en-IE"/>
              </w:rPr>
            </w:pPr>
            <w:r w:rsidRPr="000C5B82">
              <w:rPr>
                <w:rFonts w:asciiTheme="minorHAnsi" w:hAnsiTheme="minorHAnsi" w:cstheme="minorHAnsi"/>
                <w:bCs/>
                <w:lang w:val="en-IE"/>
              </w:rPr>
              <w:t xml:space="preserve">Avoid temptations and triggers. </w:t>
            </w:r>
          </w:p>
          <w:p w14:paraId="01393DFF" w14:textId="1E3A1350" w:rsidR="000C5B82" w:rsidRPr="000C5B82" w:rsidRDefault="000C5B82" w:rsidP="007C6D5A">
            <w:pPr>
              <w:numPr>
                <w:ilvl w:val="0"/>
                <w:numId w:val="9"/>
              </w:numPr>
              <w:spacing w:before="120" w:after="120" w:line="259" w:lineRule="auto"/>
              <w:ind w:left="714" w:right="181" w:hanging="357"/>
              <w:jc w:val="both"/>
              <w:rPr>
                <w:rFonts w:asciiTheme="minorHAnsi" w:hAnsiTheme="minorHAnsi" w:cstheme="minorHAnsi"/>
                <w:bCs/>
                <w:lang w:val="en-IE"/>
              </w:rPr>
            </w:pPr>
            <w:r w:rsidRPr="000C5B82">
              <w:rPr>
                <w:rFonts w:asciiTheme="minorHAnsi" w:hAnsiTheme="minorHAnsi" w:cstheme="minorHAnsi"/>
                <w:bCs/>
                <w:lang w:val="en-IE"/>
              </w:rPr>
              <w:t xml:space="preserve">Get the Therapies you Need for Co-Occurring Conditions. </w:t>
            </w:r>
          </w:p>
          <w:p w14:paraId="0C0C00C2" w14:textId="48B7D1C6" w:rsidR="000C5B82" w:rsidRPr="000C5B82" w:rsidRDefault="000C5B82" w:rsidP="007C6D5A">
            <w:pPr>
              <w:numPr>
                <w:ilvl w:val="0"/>
                <w:numId w:val="9"/>
              </w:numPr>
              <w:spacing w:before="120" w:after="120" w:line="259" w:lineRule="auto"/>
              <w:ind w:left="714" w:right="181" w:hanging="357"/>
              <w:jc w:val="both"/>
              <w:rPr>
                <w:rFonts w:asciiTheme="minorHAnsi" w:hAnsiTheme="minorHAnsi" w:cstheme="minorHAnsi"/>
                <w:bCs/>
                <w:lang w:val="en-IE"/>
              </w:rPr>
            </w:pPr>
            <w:r w:rsidRPr="000C5B82">
              <w:rPr>
                <w:rFonts w:asciiTheme="minorHAnsi" w:hAnsiTheme="minorHAnsi" w:cstheme="minorHAnsi"/>
                <w:bCs/>
                <w:lang w:val="en-IE"/>
              </w:rPr>
              <w:t xml:space="preserve">Get to Know Your Risk Factors. </w:t>
            </w:r>
          </w:p>
          <w:p w14:paraId="3444394A" w14:textId="4F8C7849" w:rsidR="00DE7AEC" w:rsidRPr="007C6D5A" w:rsidRDefault="000C5B82" w:rsidP="007C6D5A">
            <w:pPr>
              <w:numPr>
                <w:ilvl w:val="0"/>
                <w:numId w:val="9"/>
              </w:numPr>
              <w:spacing w:before="120" w:after="120" w:line="259" w:lineRule="auto"/>
              <w:ind w:left="714" w:right="181" w:hanging="357"/>
              <w:jc w:val="both"/>
              <w:rPr>
                <w:rFonts w:asciiTheme="minorHAnsi" w:hAnsiTheme="minorHAnsi" w:cstheme="minorHAnsi"/>
                <w:bCs/>
                <w:lang w:val="en-IE"/>
              </w:rPr>
            </w:pPr>
            <w:r w:rsidRPr="000C5B82">
              <w:rPr>
                <w:rFonts w:asciiTheme="minorHAnsi" w:hAnsiTheme="minorHAnsi" w:cstheme="minorHAnsi"/>
                <w:bCs/>
                <w:lang w:val="en-IE"/>
              </w:rPr>
              <w:t>Maintain Healthy Balance in Life.</w:t>
            </w:r>
          </w:p>
        </w:tc>
      </w:tr>
      <w:tr w:rsidR="00DE7AEC" w:rsidRPr="00107DC1" w14:paraId="4936EE26" w14:textId="77777777" w:rsidTr="0025611D">
        <w:trPr>
          <w:trHeight w:val="295"/>
        </w:trPr>
        <w:tc>
          <w:tcPr>
            <w:tcW w:w="9356" w:type="dxa"/>
            <w:shd w:val="clear" w:color="auto" w:fill="44546A" w:themeFill="text2"/>
          </w:tcPr>
          <w:p w14:paraId="6BAC39EB" w14:textId="6ECD5F47" w:rsidR="00DE7AEC" w:rsidRPr="00107DC1" w:rsidRDefault="00DE7AEC" w:rsidP="0025611D">
            <w:pPr>
              <w:rPr>
                <w:rFonts w:asciiTheme="minorHAnsi" w:hAnsiTheme="minorHAnsi" w:cstheme="minorHAnsi"/>
                <w:b/>
              </w:rPr>
            </w:pPr>
            <w:r>
              <w:rPr>
                <w:rFonts w:asciiTheme="minorHAnsi" w:hAnsiTheme="minorHAnsi" w:cstheme="minorHAnsi"/>
                <w:b/>
                <w:color w:val="FFFFFF" w:themeColor="background1"/>
                <w:sz w:val="28"/>
                <w:szCs w:val="28"/>
              </w:rPr>
              <w:t xml:space="preserve">For Further Information: </w:t>
            </w:r>
          </w:p>
        </w:tc>
      </w:tr>
      <w:tr w:rsidR="00DE7AEC" w:rsidRPr="000E1435" w14:paraId="4B1082FF" w14:textId="77777777" w:rsidTr="007C6D5A">
        <w:trPr>
          <w:trHeight w:val="132"/>
        </w:trPr>
        <w:tc>
          <w:tcPr>
            <w:tcW w:w="9356" w:type="dxa"/>
            <w:shd w:val="clear" w:color="auto" w:fill="auto"/>
          </w:tcPr>
          <w:p w14:paraId="6659EAF2" w14:textId="77777777" w:rsidR="00A66AD6" w:rsidRPr="007C6D5A" w:rsidRDefault="00A66AD6"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A standard drink is a measure of alcohol. In Ireland, one standard drink contains 10 grams of pure alcohol.</w:t>
            </w:r>
          </w:p>
          <w:p w14:paraId="22973243" w14:textId="77777777" w:rsidR="00A66AD6" w:rsidRPr="007C6D5A" w:rsidRDefault="00A66AD6"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The </w:t>
            </w:r>
            <w:hyperlink r:id="rId8" w:tgtFrame="_blank" w:history="1">
              <w:r w:rsidRPr="007C6D5A">
                <w:rPr>
                  <w:rStyle w:val="Hyperlink"/>
                  <w:rFonts w:asciiTheme="minorHAnsi" w:hAnsiTheme="minorHAnsi" w:cstheme="minorHAnsi"/>
                  <w:bCs/>
                  <w:lang w:val="en-IE"/>
                </w:rPr>
                <w:t>HSE low-risk weekly guidelines</w:t>
              </w:r>
            </w:hyperlink>
            <w:r w:rsidRPr="007C6D5A">
              <w:rPr>
                <w:rFonts w:asciiTheme="minorHAnsi" w:hAnsiTheme="minorHAnsi" w:cstheme="minorHAnsi"/>
                <w:bCs/>
                <w:lang w:val="en-IE"/>
              </w:rPr>
              <w:t> are no more than 11 standard drinks for women and no more than 17 for men, these should be spread out throughout the week, with at least 2 alcohol-free days.</w:t>
            </w:r>
          </w:p>
          <w:p w14:paraId="1D7000D8" w14:textId="77777777" w:rsidR="00A66AD6" w:rsidRPr="007C6D5A" w:rsidRDefault="00A66AD6"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The number of standard drinks is based on the size of the drink and its alcohol strength, usually shown on labels as alcohol by volume (%ABV). The higher the alcohol strength, the higher the standard drink content.</w:t>
            </w:r>
          </w:p>
          <w:p w14:paraId="6CDD2366" w14:textId="77777777" w:rsidR="00A66AD6" w:rsidRPr="007C6D5A" w:rsidRDefault="00A66AD6"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It takes your body at least one hour to process one standard drink.</w:t>
            </w:r>
          </w:p>
          <w:p w14:paraId="7AA40473" w14:textId="29F14D52" w:rsidR="00A66AD6" w:rsidRDefault="00A66AD6"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For reference: a pint = 568mls &amp; a pub measure of spirits = 35.5mls.</w:t>
            </w:r>
          </w:p>
          <w:p w14:paraId="29301A62" w14:textId="3385B098" w:rsidR="007C6D5A" w:rsidRDefault="007C6D5A" w:rsidP="007C6D5A">
            <w:pPr>
              <w:numPr>
                <w:ilvl w:val="0"/>
                <w:numId w:val="10"/>
              </w:numPr>
              <w:spacing w:before="120" w:after="120" w:line="259" w:lineRule="auto"/>
              <w:ind w:left="714" w:right="181" w:hanging="357"/>
              <w:jc w:val="both"/>
              <w:rPr>
                <w:rFonts w:asciiTheme="minorHAnsi" w:hAnsiTheme="minorHAnsi" w:cstheme="minorHAnsi"/>
                <w:bCs/>
                <w:lang w:val="en-IE"/>
              </w:rPr>
            </w:pPr>
            <w:r w:rsidRPr="007C6D5A">
              <w:rPr>
                <w:rFonts w:asciiTheme="minorHAnsi" w:hAnsiTheme="minorHAnsi" w:cstheme="minorHAnsi"/>
                <w:bCs/>
                <w:lang w:val="en-IE"/>
              </w:rPr>
              <w:t>For further information or HELP call the HSE Drugs &amp; Alcohol Help Line on 1800 700 700</w:t>
            </w:r>
            <w:r>
              <w:rPr>
                <w:rFonts w:asciiTheme="minorHAnsi" w:hAnsiTheme="minorHAnsi" w:cstheme="minorHAnsi"/>
                <w:bCs/>
                <w:lang w:val="en-IE"/>
              </w:rPr>
              <w:t>.</w:t>
            </w:r>
          </w:p>
          <w:p w14:paraId="2AD49242" w14:textId="37FBBC0D" w:rsidR="007C6D5A" w:rsidRDefault="007C6D5A" w:rsidP="007C6D5A">
            <w:pPr>
              <w:spacing w:before="120" w:after="120" w:line="259" w:lineRule="auto"/>
              <w:ind w:right="181"/>
              <w:jc w:val="both"/>
              <w:rPr>
                <w:rFonts w:asciiTheme="minorHAnsi" w:hAnsiTheme="minorHAnsi" w:cstheme="minorHAnsi"/>
                <w:bCs/>
                <w:lang w:val="en-IE"/>
              </w:rPr>
            </w:pPr>
          </w:p>
          <w:p w14:paraId="4F6A22E7" w14:textId="35C9CC23" w:rsidR="007C6D5A" w:rsidRDefault="007C6D5A" w:rsidP="007C6D5A">
            <w:pPr>
              <w:spacing w:before="120" w:after="120" w:line="259" w:lineRule="auto"/>
              <w:ind w:right="181"/>
              <w:jc w:val="both"/>
              <w:rPr>
                <w:rFonts w:asciiTheme="minorHAnsi" w:hAnsiTheme="minorHAnsi" w:cstheme="minorHAnsi"/>
                <w:bCs/>
                <w:lang w:val="en-IE"/>
              </w:rPr>
            </w:pPr>
          </w:p>
          <w:p w14:paraId="19A93ADA" w14:textId="0C437266" w:rsidR="007C6D5A" w:rsidRDefault="007C6D5A" w:rsidP="007C6D5A">
            <w:pPr>
              <w:spacing w:before="120" w:after="120" w:line="259" w:lineRule="auto"/>
              <w:ind w:right="181"/>
              <w:jc w:val="both"/>
              <w:rPr>
                <w:rFonts w:asciiTheme="minorHAnsi" w:hAnsiTheme="minorHAnsi" w:cstheme="minorHAnsi"/>
                <w:bCs/>
                <w:lang w:val="en-IE"/>
              </w:rPr>
            </w:pPr>
          </w:p>
          <w:p w14:paraId="1288652F" w14:textId="159E8369" w:rsidR="007C6D5A" w:rsidRDefault="007C6D5A" w:rsidP="007C6D5A">
            <w:pPr>
              <w:spacing w:before="120" w:after="120" w:line="259" w:lineRule="auto"/>
              <w:ind w:right="181"/>
              <w:jc w:val="both"/>
              <w:rPr>
                <w:rFonts w:asciiTheme="minorHAnsi" w:hAnsiTheme="minorHAnsi" w:cstheme="minorHAnsi"/>
                <w:bCs/>
                <w:lang w:val="en-IE"/>
              </w:rPr>
            </w:pPr>
          </w:p>
          <w:p w14:paraId="7D24039F" w14:textId="69ABD89B" w:rsidR="007C6D5A" w:rsidRDefault="007C6D5A" w:rsidP="007C6D5A">
            <w:pPr>
              <w:spacing w:before="120" w:after="120" w:line="259" w:lineRule="auto"/>
              <w:ind w:right="181"/>
              <w:jc w:val="both"/>
              <w:rPr>
                <w:rFonts w:asciiTheme="minorHAnsi" w:hAnsiTheme="minorHAnsi" w:cstheme="minorHAnsi"/>
                <w:bCs/>
                <w:lang w:val="en-IE"/>
              </w:rPr>
            </w:pPr>
          </w:p>
          <w:p w14:paraId="00A1973E" w14:textId="5233CC56" w:rsidR="007C6D5A" w:rsidRDefault="007C6D5A" w:rsidP="007C6D5A">
            <w:pPr>
              <w:spacing w:before="120" w:after="120" w:line="259" w:lineRule="auto"/>
              <w:ind w:right="181"/>
              <w:jc w:val="both"/>
              <w:rPr>
                <w:rFonts w:asciiTheme="minorHAnsi" w:hAnsiTheme="minorHAnsi" w:cstheme="minorHAnsi"/>
                <w:bCs/>
                <w:lang w:val="en-IE"/>
              </w:rPr>
            </w:pPr>
          </w:p>
          <w:p w14:paraId="2832DC88" w14:textId="424311D1" w:rsidR="007C6D5A" w:rsidRDefault="007C6D5A" w:rsidP="007C6D5A">
            <w:pPr>
              <w:spacing w:before="120" w:after="120" w:line="259" w:lineRule="auto"/>
              <w:ind w:right="181"/>
              <w:jc w:val="both"/>
              <w:rPr>
                <w:rFonts w:asciiTheme="minorHAnsi" w:hAnsiTheme="minorHAnsi" w:cstheme="minorHAnsi"/>
                <w:bCs/>
                <w:lang w:val="en-IE"/>
              </w:rPr>
            </w:pPr>
          </w:p>
          <w:p w14:paraId="220F528C" w14:textId="40DE939C" w:rsidR="007C6D5A" w:rsidRDefault="007C6D5A" w:rsidP="007C6D5A">
            <w:pPr>
              <w:spacing w:before="120" w:after="120" w:line="259" w:lineRule="auto"/>
              <w:ind w:right="181"/>
              <w:jc w:val="both"/>
              <w:rPr>
                <w:rFonts w:asciiTheme="minorHAnsi" w:hAnsiTheme="minorHAnsi" w:cstheme="minorHAnsi"/>
                <w:bCs/>
                <w:lang w:val="en-IE"/>
              </w:rPr>
            </w:pPr>
          </w:p>
          <w:p w14:paraId="252C81BE" w14:textId="45173F97" w:rsidR="002536AD" w:rsidRPr="00A66AD6" w:rsidRDefault="00CD71CE" w:rsidP="002536AD">
            <w:pPr>
              <w:spacing w:before="120" w:after="120"/>
              <w:ind w:right="184"/>
              <w:rPr>
                <w:rFonts w:asciiTheme="minorHAnsi" w:hAnsiTheme="minorHAnsi" w:cstheme="minorHAnsi"/>
                <w:bCs/>
                <w:lang w:val="en-IE"/>
              </w:rPr>
            </w:pPr>
            <w:r w:rsidRPr="00CD71CE">
              <w:rPr>
                <w:rFonts w:asciiTheme="minorHAnsi" w:hAnsiTheme="minorHAnsi" w:cstheme="minorHAnsi"/>
                <w:bCs/>
                <w:noProof/>
                <w:lang w:val="en-IE"/>
              </w:rPr>
              <w:lastRenderedPageBreak/>
              <w:drawing>
                <wp:inline distT="0" distB="0" distL="0" distR="0" wp14:anchorId="06F04010" wp14:editId="709DC24C">
                  <wp:extent cx="2766060" cy="41453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987" cy="4154182"/>
                          </a:xfrm>
                          <a:prstGeom prst="rect">
                            <a:avLst/>
                          </a:prstGeom>
                        </pic:spPr>
                      </pic:pic>
                    </a:graphicData>
                  </a:graphic>
                </wp:inline>
              </w:drawing>
            </w:r>
            <w:r w:rsidRPr="00CD71CE">
              <w:rPr>
                <w:noProof/>
              </w:rPr>
              <w:t xml:space="preserve"> </w:t>
            </w:r>
            <w:r w:rsidRPr="00CD71CE">
              <w:rPr>
                <w:rFonts w:asciiTheme="minorHAnsi" w:hAnsiTheme="minorHAnsi" w:cstheme="minorHAnsi"/>
                <w:bCs/>
                <w:noProof/>
                <w:lang w:val="en-IE"/>
              </w:rPr>
              <w:drawing>
                <wp:inline distT="0" distB="0" distL="0" distR="0" wp14:anchorId="27BFE5D1" wp14:editId="07E05B32">
                  <wp:extent cx="2796782" cy="312447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6782" cy="3124471"/>
                          </a:xfrm>
                          <a:prstGeom prst="rect">
                            <a:avLst/>
                          </a:prstGeom>
                        </pic:spPr>
                      </pic:pic>
                    </a:graphicData>
                  </a:graphic>
                </wp:inline>
              </w:drawing>
            </w:r>
          </w:p>
          <w:p w14:paraId="7EA637CF" w14:textId="606E808C" w:rsidR="007C6D5A" w:rsidRDefault="007C6D5A" w:rsidP="0025611D">
            <w:pPr>
              <w:spacing w:before="120" w:after="120"/>
              <w:ind w:right="184"/>
              <w:rPr>
                <w:rFonts w:asciiTheme="minorHAnsi" w:hAnsiTheme="minorHAnsi" w:cstheme="minorHAnsi"/>
                <w:bCs/>
                <w:lang w:val="en-IE"/>
              </w:rPr>
            </w:pPr>
            <w:r>
              <w:rPr>
                <w:noProof/>
              </w:rPr>
              <w:drawing>
                <wp:inline distT="0" distB="0" distL="0" distR="0" wp14:anchorId="0241671A" wp14:editId="6164ACF9">
                  <wp:extent cx="5956935" cy="4410075"/>
                  <wp:effectExtent l="0" t="0" r="5715" b="952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7097" cy="4410195"/>
                          </a:xfrm>
                          <a:prstGeom prst="rect">
                            <a:avLst/>
                          </a:prstGeom>
                          <a:noFill/>
                          <a:ln>
                            <a:noFill/>
                          </a:ln>
                        </pic:spPr>
                      </pic:pic>
                    </a:graphicData>
                  </a:graphic>
                </wp:inline>
              </w:drawing>
            </w:r>
          </w:p>
          <w:p w14:paraId="5B5AF25B" w14:textId="6E8BA783" w:rsidR="007C6D5A" w:rsidRPr="00A66AD6" w:rsidRDefault="007C6D5A" w:rsidP="0025611D">
            <w:pPr>
              <w:spacing w:before="120" w:after="120"/>
              <w:ind w:right="184"/>
              <w:rPr>
                <w:rFonts w:asciiTheme="minorHAnsi" w:hAnsiTheme="minorHAnsi" w:cstheme="minorHAnsi"/>
                <w:bCs/>
                <w:lang w:val="en-IE"/>
              </w:rPr>
            </w:pPr>
          </w:p>
        </w:tc>
      </w:tr>
    </w:tbl>
    <w:p w14:paraId="5FE90328" w14:textId="694A0180" w:rsidR="002760FF" w:rsidRDefault="002760FF" w:rsidP="002760FF"/>
    <w:p w14:paraId="5728784B" w14:textId="2785D834" w:rsidR="00F00B9B" w:rsidRDefault="00F00B9B" w:rsidP="002760FF">
      <w:pPr>
        <w:rPr>
          <w:noProof/>
        </w:rPr>
      </w:pPr>
    </w:p>
    <w:sectPr w:rsidR="00F00B9B" w:rsidSect="002760FF">
      <w:pgSz w:w="11906" w:h="16838"/>
      <w:pgMar w:top="1135"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96C9" w14:textId="77777777" w:rsidR="006252A5" w:rsidRDefault="006252A5" w:rsidP="002760FF">
      <w:r>
        <w:separator/>
      </w:r>
    </w:p>
  </w:endnote>
  <w:endnote w:type="continuationSeparator" w:id="0">
    <w:p w14:paraId="277A8337" w14:textId="77777777" w:rsidR="006252A5" w:rsidRDefault="006252A5" w:rsidP="002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4A19" w14:textId="77777777" w:rsidR="006252A5" w:rsidRDefault="006252A5" w:rsidP="002760FF">
      <w:r>
        <w:separator/>
      </w:r>
    </w:p>
  </w:footnote>
  <w:footnote w:type="continuationSeparator" w:id="0">
    <w:p w14:paraId="7A2E72DD" w14:textId="77777777" w:rsidR="006252A5" w:rsidRDefault="006252A5" w:rsidP="0027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DE9"/>
    <w:multiLevelType w:val="hybridMultilevel"/>
    <w:tmpl w:val="2FDC80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9E7001"/>
    <w:multiLevelType w:val="hybridMultilevel"/>
    <w:tmpl w:val="42565F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021F20"/>
    <w:multiLevelType w:val="multilevel"/>
    <w:tmpl w:val="6E8C909C"/>
    <w:lvl w:ilvl="0">
      <w:numFmt w:val="bullet"/>
      <w:lvlText w:val=""/>
      <w:lvlJc w:val="left"/>
      <w:pPr>
        <w:ind w:left="1791" w:hanging="360"/>
      </w:pPr>
      <w:rPr>
        <w:rFonts w:ascii="Wingdings" w:hAnsi="Wingdings"/>
      </w:rPr>
    </w:lvl>
    <w:lvl w:ilvl="1">
      <w:numFmt w:val="bullet"/>
      <w:lvlText w:val="o"/>
      <w:lvlJc w:val="left"/>
      <w:pPr>
        <w:ind w:left="2511" w:hanging="360"/>
      </w:pPr>
      <w:rPr>
        <w:rFonts w:ascii="Courier New" w:hAnsi="Courier New" w:cs="Courier New"/>
      </w:rPr>
    </w:lvl>
    <w:lvl w:ilvl="2">
      <w:numFmt w:val="bullet"/>
      <w:lvlText w:val=""/>
      <w:lvlJc w:val="left"/>
      <w:pPr>
        <w:ind w:left="3231" w:hanging="360"/>
      </w:pPr>
      <w:rPr>
        <w:rFonts w:ascii="Wingdings" w:hAnsi="Wingdings"/>
      </w:rPr>
    </w:lvl>
    <w:lvl w:ilvl="3">
      <w:numFmt w:val="bullet"/>
      <w:lvlText w:val=""/>
      <w:lvlJc w:val="left"/>
      <w:pPr>
        <w:ind w:left="3951" w:hanging="360"/>
      </w:pPr>
      <w:rPr>
        <w:rFonts w:ascii="Symbol" w:hAnsi="Symbol"/>
      </w:rPr>
    </w:lvl>
    <w:lvl w:ilvl="4">
      <w:numFmt w:val="bullet"/>
      <w:lvlText w:val="o"/>
      <w:lvlJc w:val="left"/>
      <w:pPr>
        <w:ind w:left="4671" w:hanging="360"/>
      </w:pPr>
      <w:rPr>
        <w:rFonts w:ascii="Courier New" w:hAnsi="Courier New" w:cs="Courier New"/>
      </w:rPr>
    </w:lvl>
    <w:lvl w:ilvl="5">
      <w:numFmt w:val="bullet"/>
      <w:lvlText w:val=""/>
      <w:lvlJc w:val="left"/>
      <w:pPr>
        <w:ind w:left="5391" w:hanging="360"/>
      </w:pPr>
      <w:rPr>
        <w:rFonts w:ascii="Wingdings" w:hAnsi="Wingdings"/>
      </w:rPr>
    </w:lvl>
    <w:lvl w:ilvl="6">
      <w:numFmt w:val="bullet"/>
      <w:lvlText w:val=""/>
      <w:lvlJc w:val="left"/>
      <w:pPr>
        <w:ind w:left="6111" w:hanging="360"/>
      </w:pPr>
      <w:rPr>
        <w:rFonts w:ascii="Symbol" w:hAnsi="Symbol"/>
      </w:rPr>
    </w:lvl>
    <w:lvl w:ilvl="7">
      <w:numFmt w:val="bullet"/>
      <w:lvlText w:val="o"/>
      <w:lvlJc w:val="left"/>
      <w:pPr>
        <w:ind w:left="6831" w:hanging="360"/>
      </w:pPr>
      <w:rPr>
        <w:rFonts w:ascii="Courier New" w:hAnsi="Courier New" w:cs="Courier New"/>
      </w:rPr>
    </w:lvl>
    <w:lvl w:ilvl="8">
      <w:numFmt w:val="bullet"/>
      <w:lvlText w:val=""/>
      <w:lvlJc w:val="left"/>
      <w:pPr>
        <w:ind w:left="7551" w:hanging="360"/>
      </w:pPr>
      <w:rPr>
        <w:rFonts w:ascii="Wingdings" w:hAnsi="Wingdings"/>
      </w:rPr>
    </w:lvl>
  </w:abstractNum>
  <w:abstractNum w:abstractNumId="3" w15:restartNumberingAfterBreak="0">
    <w:nsid w:val="46D47409"/>
    <w:multiLevelType w:val="multilevel"/>
    <w:tmpl w:val="79F07B9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4" w15:restartNumberingAfterBreak="0">
    <w:nsid w:val="4EB372C7"/>
    <w:multiLevelType w:val="multilevel"/>
    <w:tmpl w:val="33A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80755"/>
    <w:multiLevelType w:val="multilevel"/>
    <w:tmpl w:val="00FE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94430"/>
    <w:multiLevelType w:val="hybridMultilevel"/>
    <w:tmpl w:val="2C68FA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524C62"/>
    <w:multiLevelType w:val="hybridMultilevel"/>
    <w:tmpl w:val="0646E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29172D"/>
    <w:multiLevelType w:val="hybridMultilevel"/>
    <w:tmpl w:val="7A64DD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DA54E5"/>
    <w:multiLevelType w:val="hybridMultilevel"/>
    <w:tmpl w:val="40CAF6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2083444">
    <w:abstractNumId w:val="6"/>
  </w:num>
  <w:num w:numId="2" w16cid:durableId="558785762">
    <w:abstractNumId w:val="1"/>
  </w:num>
  <w:num w:numId="3" w16cid:durableId="1087339620">
    <w:abstractNumId w:val="9"/>
  </w:num>
  <w:num w:numId="4" w16cid:durableId="1814178099">
    <w:abstractNumId w:val="2"/>
  </w:num>
  <w:num w:numId="5" w16cid:durableId="953172169">
    <w:abstractNumId w:val="0"/>
  </w:num>
  <w:num w:numId="6" w16cid:durableId="1412240761">
    <w:abstractNumId w:val="8"/>
  </w:num>
  <w:num w:numId="7" w16cid:durableId="1670937930">
    <w:abstractNumId w:val="5"/>
  </w:num>
  <w:num w:numId="8" w16cid:durableId="1536700828">
    <w:abstractNumId w:val="7"/>
  </w:num>
  <w:num w:numId="9" w16cid:durableId="1912614522">
    <w:abstractNumId w:val="4"/>
  </w:num>
  <w:num w:numId="10" w16cid:durableId="108468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FF"/>
    <w:rsid w:val="00024AB0"/>
    <w:rsid w:val="000A7B44"/>
    <w:rsid w:val="000C351B"/>
    <w:rsid w:val="000C5B82"/>
    <w:rsid w:val="000D5A78"/>
    <w:rsid w:val="000D5D08"/>
    <w:rsid w:val="000E1435"/>
    <w:rsid w:val="00117158"/>
    <w:rsid w:val="00182D9F"/>
    <w:rsid w:val="002536AD"/>
    <w:rsid w:val="002760FF"/>
    <w:rsid w:val="00285F6F"/>
    <w:rsid w:val="00303A41"/>
    <w:rsid w:val="003C4D66"/>
    <w:rsid w:val="003E2799"/>
    <w:rsid w:val="00402B06"/>
    <w:rsid w:val="004152D7"/>
    <w:rsid w:val="00435D09"/>
    <w:rsid w:val="00521B88"/>
    <w:rsid w:val="00522FB8"/>
    <w:rsid w:val="005411AD"/>
    <w:rsid w:val="005811EA"/>
    <w:rsid w:val="005A3932"/>
    <w:rsid w:val="005C651F"/>
    <w:rsid w:val="005F6993"/>
    <w:rsid w:val="006252A5"/>
    <w:rsid w:val="00627F86"/>
    <w:rsid w:val="00656943"/>
    <w:rsid w:val="00665C83"/>
    <w:rsid w:val="006E316F"/>
    <w:rsid w:val="007643F7"/>
    <w:rsid w:val="007C6D5A"/>
    <w:rsid w:val="007D784F"/>
    <w:rsid w:val="00803AC5"/>
    <w:rsid w:val="008042BF"/>
    <w:rsid w:val="00805C48"/>
    <w:rsid w:val="008A1841"/>
    <w:rsid w:val="008C3D4F"/>
    <w:rsid w:val="009B1FBE"/>
    <w:rsid w:val="00A04A86"/>
    <w:rsid w:val="00A66AD6"/>
    <w:rsid w:val="00AB723C"/>
    <w:rsid w:val="00AC3E90"/>
    <w:rsid w:val="00AF33A0"/>
    <w:rsid w:val="00B658A1"/>
    <w:rsid w:val="00BC641A"/>
    <w:rsid w:val="00CD71CE"/>
    <w:rsid w:val="00CE59DA"/>
    <w:rsid w:val="00D654C3"/>
    <w:rsid w:val="00D71E09"/>
    <w:rsid w:val="00DE7AEC"/>
    <w:rsid w:val="00E24C0A"/>
    <w:rsid w:val="00E41FDC"/>
    <w:rsid w:val="00EA6B40"/>
    <w:rsid w:val="00F00B9B"/>
    <w:rsid w:val="00F1446F"/>
    <w:rsid w:val="00F312DF"/>
    <w:rsid w:val="00F437C4"/>
    <w:rsid w:val="00F67493"/>
    <w:rsid w:val="00F91376"/>
    <w:rsid w:val="00F942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0D4E"/>
  <w15:chartTrackingRefBased/>
  <w15:docId w15:val="{3A4C7183-5DD1-4AD2-9004-2C384F5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F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760FF"/>
    <w:pPr>
      <w:spacing w:before="120" w:after="120"/>
    </w:pPr>
    <w:rPr>
      <w:b/>
      <w:bCs/>
      <w:sz w:val="20"/>
      <w:szCs w:val="20"/>
    </w:rPr>
  </w:style>
  <w:style w:type="character" w:styleId="Hyperlink">
    <w:name w:val="Hyperlink"/>
    <w:rsid w:val="002760FF"/>
    <w:rPr>
      <w:color w:val="0000FF"/>
      <w:u w:val="single"/>
    </w:rPr>
  </w:style>
  <w:style w:type="paragraph" w:styleId="ListParagraph">
    <w:name w:val="List Paragraph"/>
    <w:basedOn w:val="Normal"/>
    <w:uiPriority w:val="34"/>
    <w:qFormat/>
    <w:rsid w:val="002760FF"/>
    <w:pPr>
      <w:spacing w:after="160" w:line="259" w:lineRule="auto"/>
      <w:ind w:left="720"/>
      <w:contextualSpacing/>
    </w:pPr>
    <w:rPr>
      <w:rFonts w:ascii="Calibri" w:eastAsia="Calibri" w:hAnsi="Calibri"/>
      <w:sz w:val="22"/>
      <w:szCs w:val="22"/>
      <w:lang w:val="en-IE" w:eastAsia="en-US"/>
    </w:rPr>
  </w:style>
  <w:style w:type="paragraph" w:styleId="Header">
    <w:name w:val="header"/>
    <w:basedOn w:val="Normal"/>
    <w:link w:val="HeaderChar"/>
    <w:uiPriority w:val="99"/>
    <w:unhideWhenUsed/>
    <w:rsid w:val="002760FF"/>
    <w:pPr>
      <w:tabs>
        <w:tab w:val="center" w:pos="4513"/>
        <w:tab w:val="right" w:pos="9026"/>
      </w:tabs>
    </w:pPr>
  </w:style>
  <w:style w:type="character" w:customStyle="1" w:styleId="HeaderChar">
    <w:name w:val="Header Char"/>
    <w:basedOn w:val="DefaultParagraphFont"/>
    <w:link w:val="Header"/>
    <w:uiPriority w:val="99"/>
    <w:rsid w:val="002760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760FF"/>
    <w:pPr>
      <w:tabs>
        <w:tab w:val="center" w:pos="4513"/>
        <w:tab w:val="right" w:pos="9026"/>
      </w:tabs>
    </w:pPr>
  </w:style>
  <w:style w:type="character" w:customStyle="1" w:styleId="FooterChar">
    <w:name w:val="Footer Char"/>
    <w:basedOn w:val="DefaultParagraphFont"/>
    <w:link w:val="Footer"/>
    <w:uiPriority w:val="99"/>
    <w:rsid w:val="002760FF"/>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6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3">
      <w:bodyDiv w:val="1"/>
      <w:marLeft w:val="0"/>
      <w:marRight w:val="0"/>
      <w:marTop w:val="0"/>
      <w:marBottom w:val="0"/>
      <w:divBdr>
        <w:top w:val="none" w:sz="0" w:space="0" w:color="auto"/>
        <w:left w:val="none" w:sz="0" w:space="0" w:color="auto"/>
        <w:bottom w:val="none" w:sz="0" w:space="0" w:color="auto"/>
        <w:right w:val="none" w:sz="0" w:space="0" w:color="auto"/>
      </w:divBdr>
    </w:div>
    <w:div w:id="305015474">
      <w:bodyDiv w:val="1"/>
      <w:marLeft w:val="0"/>
      <w:marRight w:val="0"/>
      <w:marTop w:val="0"/>
      <w:marBottom w:val="0"/>
      <w:divBdr>
        <w:top w:val="none" w:sz="0" w:space="0" w:color="auto"/>
        <w:left w:val="none" w:sz="0" w:space="0" w:color="auto"/>
        <w:bottom w:val="none" w:sz="0" w:space="0" w:color="auto"/>
        <w:right w:val="none" w:sz="0" w:space="0" w:color="auto"/>
      </w:divBdr>
    </w:div>
    <w:div w:id="196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aware.ie/what-are-the-low-risk-weekly-alcohol-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John Egan</cp:lastModifiedBy>
  <cp:revision>9</cp:revision>
  <cp:lastPrinted>2023-02-15T07:21:00Z</cp:lastPrinted>
  <dcterms:created xsi:type="dcterms:W3CDTF">2023-01-11T14:57:00Z</dcterms:created>
  <dcterms:modified xsi:type="dcterms:W3CDTF">2023-03-09T16:39:00Z</dcterms:modified>
</cp:coreProperties>
</file>