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8807" w14:textId="0AFEADF1" w:rsidR="00A63EC7" w:rsidRPr="00C179B8" w:rsidRDefault="00230CEF" w:rsidP="00230CEF">
      <w:pPr>
        <w:pStyle w:val="Caption"/>
        <w:jc w:val="both"/>
        <w:rPr>
          <w:rFonts w:asciiTheme="minorHAnsi" w:hAnsiTheme="minorHAnsi" w:cstheme="minorHAnsi"/>
          <w:sz w:val="46"/>
          <w:szCs w:val="46"/>
        </w:rPr>
      </w:pPr>
      <w:r w:rsidRPr="00C179B8">
        <w:rPr>
          <w:rFonts w:asciiTheme="minorHAnsi" w:hAnsiTheme="minorHAnsi" w:cstheme="minorHAnsi"/>
          <w:sz w:val="46"/>
          <w:szCs w:val="46"/>
        </w:rPr>
        <w:t>Safe Control of Hazardous Energies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F48FD" w:rsidRPr="001B0F9E" w14:paraId="28A375EF" w14:textId="77777777" w:rsidTr="003A501C">
        <w:trPr>
          <w:trHeight w:val="327"/>
        </w:trPr>
        <w:tc>
          <w:tcPr>
            <w:tcW w:w="10206" w:type="dxa"/>
            <w:shd w:val="clear" w:color="auto" w:fill="44546A" w:themeFill="text2"/>
          </w:tcPr>
          <w:p w14:paraId="2283781B" w14:textId="752488DA" w:rsidR="00BF48FD" w:rsidRPr="001B0F9E" w:rsidRDefault="00230CEF" w:rsidP="00985E7B">
            <w:pPr>
              <w:spacing w:before="40" w:after="4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Plan the Work, Work the Plan</w:t>
            </w:r>
            <w:r w:rsidR="00BF48FD" w:rsidRPr="0023542B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! </w:t>
            </w:r>
          </w:p>
        </w:tc>
      </w:tr>
      <w:tr w:rsidR="00BF48FD" w:rsidRPr="00277159" w14:paraId="02650638" w14:textId="77777777" w:rsidTr="003A501C">
        <w:trPr>
          <w:trHeight w:val="382"/>
        </w:trPr>
        <w:tc>
          <w:tcPr>
            <w:tcW w:w="10206" w:type="dxa"/>
            <w:shd w:val="clear" w:color="auto" w:fill="auto"/>
          </w:tcPr>
          <w:p w14:paraId="329F67C9" w14:textId="02219AD9" w:rsidR="00C179B8" w:rsidRDefault="006A1972" w:rsidP="00C127C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202807" wp14:editId="2B4634A3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34290</wp:posOffset>
                      </wp:positionV>
                      <wp:extent cx="4335780" cy="2034540"/>
                      <wp:effectExtent l="0" t="0" r="762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5780" cy="2034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25AC56" w14:textId="3269070C" w:rsidR="00CB6D1C" w:rsidRPr="006A1972" w:rsidRDefault="003A501C" w:rsidP="006A1972">
                                  <w:pPr>
                                    <w:spacing w:before="60" w:after="60"/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6A1972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sz w:val="23"/>
                                      <w:szCs w:val="23"/>
                                    </w:rPr>
                                    <w:t xml:space="preserve">Contractors are responsible for managing the risks associated with work near overhead electricity wires, underground cables, gas and water pipelines, and other infrastructure. </w:t>
                                  </w:r>
                                </w:p>
                                <w:p w14:paraId="608102EA" w14:textId="77777777" w:rsidR="00CB6D1C" w:rsidRPr="006A1972" w:rsidRDefault="003A501C" w:rsidP="006A1972">
                                  <w:pPr>
                                    <w:spacing w:before="60" w:after="60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6A1972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sz w:val="23"/>
                                      <w:szCs w:val="23"/>
                                    </w:rPr>
                                    <w:t>Competent persons need to review past site records and utility drawings in advance of works and to liaise with the respective utility providers</w:t>
                                  </w:r>
                                  <w:r w:rsidRPr="006A1972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="00CB6D1C" w:rsidRPr="006A1972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076CFB58" w14:textId="1DD5EE0B" w:rsidR="00CB6D1C" w:rsidRPr="006A1972" w:rsidRDefault="00CB6D1C" w:rsidP="006A1972">
                                  <w:pPr>
                                    <w:spacing w:before="60" w:after="60"/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6A1972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sz w:val="23"/>
                                      <w:szCs w:val="23"/>
                                    </w:rPr>
                                    <w:t xml:space="preserve">Unintended contact with utility services is a relatively frequent occurrence; last year, </w:t>
                                  </w:r>
                                  <w:r w:rsidRPr="006A1972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sz w:val="23"/>
                                      <w:szCs w:val="23"/>
                                    </w:rPr>
                                    <w:t>Gas Networks Ireland respond</w:t>
                                  </w:r>
                                  <w:r w:rsidRPr="006A1972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sz w:val="23"/>
                                      <w:szCs w:val="23"/>
                                    </w:rPr>
                                    <w:t>ed</w:t>
                                  </w:r>
                                  <w:r w:rsidRPr="006A1972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sz w:val="23"/>
                                      <w:szCs w:val="23"/>
                                    </w:rPr>
                                    <w:t xml:space="preserve"> to over 400 incidents of damage to its underground gas network.</w:t>
                                  </w:r>
                                  <w:r w:rsidRPr="006A1972">
                                    <w:rPr>
                                      <w:rFonts w:asciiTheme="minorHAnsi" w:eastAsia="Calibri" w:hAnsiTheme="minorHAnsi" w:cstheme="minorHAnsi"/>
                                      <w:bCs/>
                                      <w:sz w:val="23"/>
                                      <w:szCs w:val="23"/>
                                    </w:rPr>
                                    <w:t xml:space="preserve"> Plan work and take due care in proximity to hazardous energies.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2028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3.9pt;margin-top:2.7pt;width:341.4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" fillcolor="white [3201]" stroked="f" strokeweight=".5pt">
                      <v:textbox>
                        <w:txbxContent>
                          <w:p w14:paraId="4425AC56" w14:textId="3269070C" w:rsidR="00CB6D1C" w:rsidRPr="006A1972" w:rsidRDefault="003A501C" w:rsidP="006A1972">
                            <w:pPr>
                              <w:spacing w:before="60" w:after="60"/>
                              <w:rPr>
                                <w:rFonts w:asciiTheme="minorHAnsi" w:eastAsia="Calibri" w:hAnsiTheme="minorHAnsi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6A1972">
                              <w:rPr>
                                <w:rFonts w:asciiTheme="minorHAnsi" w:eastAsia="Calibri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Contractors are responsible for managing the risks associated with work near overhead electricity wires, underground cables, gas and water pipelines, and other infrastructure. </w:t>
                            </w:r>
                          </w:p>
                          <w:p w14:paraId="608102EA" w14:textId="77777777" w:rsidR="00CB6D1C" w:rsidRPr="006A1972" w:rsidRDefault="003A501C" w:rsidP="006A1972">
                            <w:pPr>
                              <w:spacing w:before="60" w:after="60"/>
                              <w:rPr>
                                <w:sz w:val="23"/>
                                <w:szCs w:val="23"/>
                              </w:rPr>
                            </w:pPr>
                            <w:r w:rsidRPr="006A1972">
                              <w:rPr>
                                <w:rFonts w:asciiTheme="minorHAnsi" w:eastAsia="Calibri" w:hAnsiTheme="minorHAnsi" w:cstheme="minorHAnsi"/>
                                <w:bCs/>
                                <w:sz w:val="23"/>
                                <w:szCs w:val="23"/>
                              </w:rPr>
                              <w:t>Competent persons need to review past site records and utility drawings in advance of works and to liaise with the respective utility providers</w:t>
                            </w:r>
                            <w:r w:rsidRPr="006A1972">
                              <w:rPr>
                                <w:rFonts w:asciiTheme="minorHAnsi" w:eastAsia="Calibri" w:hAnsiTheme="minorHAnsi" w:cstheme="minorHAnsi"/>
                                <w:bCs/>
                                <w:sz w:val="23"/>
                                <w:szCs w:val="23"/>
                              </w:rPr>
                              <w:t>.</w:t>
                            </w:r>
                            <w:r w:rsidR="00CB6D1C" w:rsidRPr="006A1972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076CFB58" w14:textId="1DD5EE0B" w:rsidR="00CB6D1C" w:rsidRPr="006A1972" w:rsidRDefault="00CB6D1C" w:rsidP="006A1972">
                            <w:pPr>
                              <w:spacing w:before="60" w:after="60"/>
                              <w:rPr>
                                <w:rFonts w:asciiTheme="minorHAnsi" w:eastAsia="Calibri" w:hAnsiTheme="minorHAnsi" w:cstheme="minorHAnsi"/>
                                <w:bCs/>
                                <w:sz w:val="23"/>
                                <w:szCs w:val="23"/>
                              </w:rPr>
                            </w:pPr>
                            <w:r w:rsidRPr="006A1972">
                              <w:rPr>
                                <w:rFonts w:asciiTheme="minorHAnsi" w:eastAsia="Calibri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Unintended contact with utility services is a relatively frequent occurrence; last year, </w:t>
                            </w:r>
                            <w:r w:rsidRPr="006A1972">
                              <w:rPr>
                                <w:rFonts w:asciiTheme="minorHAnsi" w:eastAsia="Calibri" w:hAnsiTheme="minorHAnsi" w:cstheme="minorHAnsi"/>
                                <w:bCs/>
                                <w:sz w:val="23"/>
                                <w:szCs w:val="23"/>
                              </w:rPr>
                              <w:t>Gas Networks Ireland respond</w:t>
                            </w:r>
                            <w:r w:rsidRPr="006A1972">
                              <w:rPr>
                                <w:rFonts w:asciiTheme="minorHAnsi" w:eastAsia="Calibri" w:hAnsiTheme="minorHAnsi" w:cstheme="minorHAnsi"/>
                                <w:bCs/>
                                <w:sz w:val="23"/>
                                <w:szCs w:val="23"/>
                              </w:rPr>
                              <w:t>ed</w:t>
                            </w:r>
                            <w:r w:rsidRPr="006A1972">
                              <w:rPr>
                                <w:rFonts w:asciiTheme="minorHAnsi" w:eastAsia="Calibri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to over 400 incidents of damage to its underground gas network.</w:t>
                            </w:r>
                            <w:r w:rsidRPr="006A1972">
                              <w:rPr>
                                <w:rFonts w:asciiTheme="minorHAnsi" w:eastAsia="Calibri" w:hAnsiTheme="minorHAnsi" w:cstheme="minorHAnsi"/>
                                <w:bCs/>
                                <w:sz w:val="23"/>
                                <w:szCs w:val="23"/>
                              </w:rPr>
                              <w:t xml:space="preserve"> Plan work and take due care in proximity to hazardous energies.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5C8444" wp14:editId="06666304">
                  <wp:simplePos x="0" y="0"/>
                  <wp:positionH relativeFrom="margin">
                    <wp:posOffset>4354830</wp:posOffset>
                  </wp:positionH>
                  <wp:positionV relativeFrom="paragraph">
                    <wp:posOffset>-1241425</wp:posOffset>
                  </wp:positionV>
                  <wp:extent cx="2212340" cy="3170210"/>
                  <wp:effectExtent l="19050" t="19050" r="16510" b="11430"/>
                  <wp:wrapNone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40" cy="31702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571169" w14:textId="552EFE2A" w:rsidR="00C179B8" w:rsidRDefault="00C179B8" w:rsidP="00C127C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0797548B" w14:textId="535FCF5A" w:rsidR="00C179B8" w:rsidRDefault="00C179B8" w:rsidP="00C127C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48C0FDD7" w14:textId="7500F06B" w:rsidR="00C179B8" w:rsidRDefault="00C179B8" w:rsidP="00C127C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07747274" w14:textId="7D3E4F73" w:rsidR="00C179B8" w:rsidRDefault="00C179B8" w:rsidP="00C127C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4CD8E14B" w14:textId="77777777" w:rsidR="00C179B8" w:rsidRDefault="00C179B8" w:rsidP="00C127C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5ACA26AF" w14:textId="77777777" w:rsidR="006A1972" w:rsidRDefault="006A1972" w:rsidP="00C127C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5FA61AF5" w14:textId="0602E745" w:rsidR="006A1972" w:rsidRPr="006A1972" w:rsidRDefault="006A1972" w:rsidP="00C127CC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Cs/>
                <w:sz w:val="10"/>
                <w:szCs w:val="10"/>
              </w:rPr>
            </w:pPr>
          </w:p>
        </w:tc>
      </w:tr>
      <w:tr w:rsidR="005D4ACC" w:rsidRPr="001B0F9E" w14:paraId="2ADE11B5" w14:textId="77777777" w:rsidTr="003A501C">
        <w:trPr>
          <w:trHeight w:val="295"/>
        </w:trPr>
        <w:tc>
          <w:tcPr>
            <w:tcW w:w="10206" w:type="dxa"/>
            <w:shd w:val="clear" w:color="auto" w:fill="44546A" w:themeFill="text2"/>
          </w:tcPr>
          <w:p w14:paraId="6847F064" w14:textId="5F2401D1" w:rsidR="005D4ACC" w:rsidRPr="001B0F9E" w:rsidRDefault="00A63EC7" w:rsidP="00D50DE1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Panel Contributions</w:t>
            </w:r>
          </w:p>
        </w:tc>
      </w:tr>
      <w:tr w:rsidR="005D4ACC" w:rsidRPr="001B0F9E" w14:paraId="2D375C37" w14:textId="77777777" w:rsidTr="003A501C">
        <w:trPr>
          <w:trHeight w:val="1166"/>
        </w:trPr>
        <w:tc>
          <w:tcPr>
            <w:tcW w:w="10206" w:type="dxa"/>
            <w:shd w:val="clear" w:color="auto" w:fill="auto"/>
          </w:tcPr>
          <w:p w14:paraId="5AD73FF7" w14:textId="6C981114" w:rsidR="00B95E78" w:rsidRPr="006A1972" w:rsidRDefault="003A501C" w:rsidP="006A1972">
            <w:pPr>
              <w:shd w:val="clear" w:color="auto" w:fill="FFFFFF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>Tom Quinlan</w:t>
            </w:r>
            <w:r w:rsidR="00B95E78"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 xml:space="preserve">, </w:t>
            </w:r>
            <w:r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>Designer Group</w:t>
            </w:r>
          </w:p>
          <w:p w14:paraId="28A1C40D" w14:textId="43331F48" w:rsidR="00F42DAE" w:rsidRPr="00786B4D" w:rsidRDefault="00B95E78" w:rsidP="00786B4D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</w:pP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A hazardous energy could be defined as something that is uncontrolled, so when we don’t put a proper control in place, that energy could become hazardous through the release of energy. </w:t>
            </w:r>
            <w:r w:rsidR="00F42DAE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It’s okay to say you don’t know what to do</w:t>
            </w:r>
            <w:r w:rsidR="00A2148C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- s</w:t>
            </w:r>
            <w:r w:rsidR="00F42DAE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eek assistance.</w:t>
            </w:r>
          </w:p>
          <w:p w14:paraId="575F9AB5" w14:textId="77777777" w:rsidR="00F42DAE" w:rsidRPr="006A1972" w:rsidRDefault="00F42DAE" w:rsidP="006A1972">
            <w:pPr>
              <w:shd w:val="clear" w:color="auto" w:fill="FFFFFF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>Owen Wilson, Gas Networks Ireland</w:t>
            </w:r>
          </w:p>
          <w:p w14:paraId="27FC393D" w14:textId="5B3C9631" w:rsidR="00F42DAE" w:rsidRPr="00786B4D" w:rsidRDefault="006A1972" w:rsidP="00786B4D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</w:pP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We cannot eliminate the hazard; we need energy to heat and power our homes and 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much 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more. The value is having 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a 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concentration of energy to use in a valued way. </w:t>
            </w:r>
            <w:r w:rsidR="00F42DAE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Pressure alone is enough the tear the human body apart. 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A car tyre contains approximately </w:t>
            </w:r>
            <w:r w:rsidR="00F42DAE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2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</w:t>
            </w:r>
            <w:r w:rsidR="00F42DAE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bar pressure, whereas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the pressure range of </w:t>
            </w:r>
            <w:r w:rsidR="00F42DAE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gas pipelines 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is </w:t>
            </w:r>
            <w:r w:rsidR="00F42DAE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from a few millibar to 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circa </w:t>
            </w:r>
            <w:r w:rsidR="00F42DAE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85bar (40-times that in a car tyre).</w:t>
            </w:r>
          </w:p>
          <w:p w14:paraId="3BB9F484" w14:textId="49E50B09" w:rsidR="00B95E78" w:rsidRPr="006A1972" w:rsidRDefault="006A1972" w:rsidP="006A1972">
            <w:pPr>
              <w:shd w:val="clear" w:color="auto" w:fill="FFFFFF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>J</w:t>
            </w:r>
            <w:r w:rsidR="003A501C"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>ason Flannery</w:t>
            </w:r>
            <w:r w:rsidR="00B95E78"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>,</w:t>
            </w:r>
            <w:r w:rsidR="003A501C"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 xml:space="preserve"> John Sisk &amp; Son Ltd.</w:t>
            </w:r>
          </w:p>
          <w:p w14:paraId="15767265" w14:textId="43A06A22" w:rsidR="00F0263D" w:rsidRPr="006A1972" w:rsidRDefault="008A0CBE" w:rsidP="006A1972">
            <w:pPr>
              <w:pStyle w:val="ListParagraph"/>
              <w:numPr>
                <w:ilvl w:val="0"/>
                <w:numId w:val="29"/>
              </w:numPr>
              <w:shd w:val="clear" w:color="auto" w:fill="FFFFFF"/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</w:pP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P</w:t>
            </w:r>
            <w:r w:rsidR="006770CD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roper p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lanning is essential</w:t>
            </w:r>
            <w:r w:rsidR="00072332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. </w:t>
            </w:r>
            <w:r w:rsidR="006770CD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Empowerment 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of persons </w:t>
            </w:r>
            <w:r w:rsidR="006770CD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to stop is so important; do not be afraid to say it’s unsafe to proceed. When it comes to hazardous energies, constraints whether financial or project timelines do not apply, a safe focus must take priority. 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</w:t>
            </w:r>
          </w:p>
          <w:p w14:paraId="7C3B9428" w14:textId="127F9CAD" w:rsidR="00B95E78" w:rsidRPr="006A1972" w:rsidRDefault="003A501C" w:rsidP="006A1972">
            <w:pPr>
              <w:shd w:val="clear" w:color="auto" w:fill="FFFFFF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>Timmy Harnett</w:t>
            </w:r>
            <w:r w:rsidR="00B95E78"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 xml:space="preserve">, </w:t>
            </w:r>
            <w:r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>Irish Water</w:t>
            </w:r>
          </w:p>
          <w:p w14:paraId="28723A42" w14:textId="1FCEB735" w:rsidR="00B95E78" w:rsidRPr="00786B4D" w:rsidRDefault="00D76C2F" w:rsidP="00786B4D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</w:pP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If you had a leak or a break in a service, the effect it has on the surrounding area needs to be considered</w:t>
            </w:r>
            <w:r w:rsidR="00D10A68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,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such as saturated ground conditions.</w:t>
            </w:r>
            <w:r w:rsidR="00D10A68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</w:t>
            </w:r>
            <w:r w:rsidR="00D10A68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Before any equipment is energised, checks must be done and signed-off as safe.</w:t>
            </w:r>
            <w:r w:rsidR="00F42DAE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Ensure change control processes are utilised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, re-assess as needed</w:t>
            </w:r>
            <w:r w:rsidR="00F42DAE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.</w:t>
            </w:r>
            <w:r w:rsidR="00D10A68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</w:t>
            </w:r>
            <w:r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</w:t>
            </w:r>
          </w:p>
          <w:p w14:paraId="6EDBBE45" w14:textId="74BD5074" w:rsidR="00D76C2F" w:rsidRPr="006A1972" w:rsidRDefault="003A501C" w:rsidP="006A1972">
            <w:pPr>
              <w:shd w:val="clear" w:color="auto" w:fill="FFFFFF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>Niall Lohan</w:t>
            </w:r>
            <w:r w:rsidR="00D76C2F"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>,</w:t>
            </w:r>
            <w:r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 xml:space="preserve"> Ward and Burke Construction Ltd.</w:t>
            </w:r>
          </w:p>
          <w:p w14:paraId="782DB394" w14:textId="3B2B6AEC" w:rsidR="00D76C2F" w:rsidRPr="00EA2CEF" w:rsidRDefault="00CD3F04" w:rsidP="00EA2CEF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</w:pP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Prior to </w:t>
            </w:r>
            <w:r w:rsidR="00637258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pressure testing/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energisation of utility services, there is a need to consider temporary works</w:t>
            </w:r>
            <w:r w:rsidR="00637258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, ensure 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safety zones </w:t>
            </w:r>
            <w:r w:rsidR="00637258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are 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in place, calibrations 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are 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checked, </w:t>
            </w:r>
            <w:r w:rsidR="00637258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and 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the </w:t>
            </w:r>
            <w:r w:rsidR="00637258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work is undertaken by 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competent personnel. For existing infrastructure, </w:t>
            </w:r>
            <w:r w:rsidR="00637258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avail of resources such as </w:t>
            </w:r>
            <w:r w:rsidR="00637258" w:rsidRPr="006A1972">
              <w:rPr>
                <w:rFonts w:asciiTheme="minorHAnsi" w:hAnsiTheme="minorHAnsi" w:cstheme="minorHAnsi"/>
                <w:i/>
                <w:iCs/>
                <w:color w:val="000000"/>
                <w:sz w:val="23"/>
                <w:szCs w:val="23"/>
                <w:lang w:eastAsia="en-IE"/>
              </w:rPr>
              <w:t xml:space="preserve">Dial before you Dig, </w:t>
            </w:r>
            <w:r w:rsidR="00637258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consider use of 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permits to open ground, check drawings, </w:t>
            </w:r>
            <w:r w:rsidR="00637258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engage competent persons with 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CSCS L</w:t>
            </w:r>
            <w:r w:rsidR="00637258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ocation of Underground Services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, </w:t>
            </w:r>
            <w:r w:rsidR="00637258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and use 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calibrated 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monitoring 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equipme</w:t>
            </w:r>
            <w:r w:rsidR="00637258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n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t. There are a lot of aids to assist</w:t>
            </w:r>
            <w:r w:rsidR="006770CD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.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</w:t>
            </w:r>
            <w:r w:rsidR="006770CD" w:rsidRP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Commence planning early and engage with the service providers.</w:t>
            </w:r>
            <w:r w:rsidRP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</w:t>
            </w:r>
          </w:p>
          <w:p w14:paraId="4A776875" w14:textId="4DC30A6F" w:rsidR="003A501C" w:rsidRPr="006A1972" w:rsidRDefault="003A501C" w:rsidP="006A1972">
            <w:pPr>
              <w:shd w:val="clear" w:color="auto" w:fill="FFFFFF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</w:pPr>
            <w:r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>Michael Murray</w:t>
            </w:r>
            <w:r w:rsidR="00D76C2F"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 xml:space="preserve">, </w:t>
            </w:r>
            <w:r w:rsidRPr="006A1972">
              <w:rPr>
                <w:rFonts w:asciiTheme="minorHAnsi" w:hAnsiTheme="minorHAnsi" w:cstheme="minorHAnsi"/>
                <w:b/>
                <w:bCs/>
                <w:color w:val="000000"/>
                <w:sz w:val="23"/>
                <w:szCs w:val="23"/>
                <w:lang w:eastAsia="en-IE"/>
              </w:rPr>
              <w:t>ESB Networks</w:t>
            </w:r>
          </w:p>
          <w:p w14:paraId="2009A623" w14:textId="18A546C1" w:rsidR="00F0263D" w:rsidRPr="00786B4D" w:rsidRDefault="00D76C2F" w:rsidP="00786B4D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60" w:after="60"/>
              <w:jc w:val="both"/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</w:pP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Electricity is safe</w:t>
            </w:r>
            <w:r w:rsid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,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if controlled</w:t>
            </w:r>
            <w:r w:rsidR="00F42DAE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.</w:t>
            </w:r>
            <w:r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</w:t>
            </w:r>
            <w:r w:rsidR="006770CD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Construction companies are great at </w:t>
            </w:r>
            <w:r w:rsidR="00426ECA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developing </w:t>
            </w:r>
            <w:r w:rsidR="006770CD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systems</w:t>
            </w:r>
            <w:r w:rsidR="00426ECA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, process</w:t>
            </w:r>
            <w:r w:rsidR="006770CD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and procedures</w:t>
            </w:r>
            <w:r w:rsid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but there is a need</w:t>
            </w:r>
            <w:r w:rsidR="006770CD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</w:t>
            </w:r>
            <w:r w:rsid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for 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continued </w:t>
            </w:r>
            <w:r w:rsidR="006770CD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focus on 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developing a </w:t>
            </w:r>
            <w:r w:rsid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safety </w:t>
            </w:r>
            <w:r w:rsidR="006770CD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culture – treat people like family. </w:t>
            </w:r>
            <w:r w:rsidR="00426ECA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Rules are there to ensure people get home safely and this needs to be understood</w:t>
            </w:r>
            <w:r w:rsidR="006A1972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by all</w:t>
            </w:r>
            <w:r w:rsidR="00426ECA" w:rsidRPr="006A1972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. </w:t>
            </w:r>
            <w:r w:rsidR="00F0263D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Wear suitabl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y rated</w:t>
            </w:r>
            <w:r w:rsidR="00F0263D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Arc Flash </w:t>
            </w:r>
            <w:r w:rsidR="00EA2CEF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personal protective equipment </w:t>
            </w:r>
            <w:r w:rsidR="00F0263D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where required</w:t>
            </w:r>
            <w:r w:rsidR="00CD0A2C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>.</w:t>
            </w:r>
            <w:r w:rsidR="00F0263D" w:rsidRPr="00786B4D">
              <w:rPr>
                <w:rFonts w:asciiTheme="minorHAnsi" w:hAnsiTheme="minorHAnsi" w:cstheme="minorHAnsi"/>
                <w:color w:val="000000"/>
                <w:sz w:val="23"/>
                <w:szCs w:val="23"/>
                <w:lang w:eastAsia="en-IE"/>
              </w:rPr>
              <w:t xml:space="preserve"> </w:t>
            </w:r>
          </w:p>
        </w:tc>
      </w:tr>
    </w:tbl>
    <w:p w14:paraId="5FE90328" w14:textId="519F6C06" w:rsidR="002760FF" w:rsidRDefault="002760FF" w:rsidP="002760FF">
      <w:pPr>
        <w:rPr>
          <w:rFonts w:asciiTheme="minorHAnsi" w:hAnsiTheme="minorHAnsi" w:cstheme="minorHAnsi"/>
        </w:rPr>
      </w:pPr>
    </w:p>
    <w:p w14:paraId="6C000C33" w14:textId="5178EBA8" w:rsidR="00C179B8" w:rsidRPr="001B0F9E" w:rsidRDefault="00C179B8" w:rsidP="002760FF">
      <w:pPr>
        <w:rPr>
          <w:rFonts w:asciiTheme="minorHAnsi" w:hAnsiTheme="minorHAnsi" w:cstheme="minorHAnsi"/>
        </w:rPr>
      </w:pPr>
    </w:p>
    <w:sectPr w:rsidR="00C179B8" w:rsidRPr="001B0F9E" w:rsidSect="00401AD6">
      <w:pgSz w:w="11906" w:h="16838"/>
      <w:pgMar w:top="851" w:right="28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B7FE" w14:textId="77777777" w:rsidR="0087649D" w:rsidRDefault="0087649D" w:rsidP="002760FF">
      <w:r>
        <w:separator/>
      </w:r>
    </w:p>
  </w:endnote>
  <w:endnote w:type="continuationSeparator" w:id="0">
    <w:p w14:paraId="35FEA97E" w14:textId="77777777" w:rsidR="0087649D" w:rsidRDefault="0087649D" w:rsidP="0027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F86B" w14:textId="77777777" w:rsidR="0087649D" w:rsidRDefault="0087649D" w:rsidP="002760FF">
      <w:r>
        <w:separator/>
      </w:r>
    </w:p>
  </w:footnote>
  <w:footnote w:type="continuationSeparator" w:id="0">
    <w:p w14:paraId="3957640B" w14:textId="77777777" w:rsidR="0087649D" w:rsidRDefault="0087649D" w:rsidP="0027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F72"/>
    <w:multiLevelType w:val="hybridMultilevel"/>
    <w:tmpl w:val="1B001C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7AA"/>
    <w:multiLevelType w:val="hybridMultilevel"/>
    <w:tmpl w:val="A91077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26399"/>
    <w:multiLevelType w:val="hybridMultilevel"/>
    <w:tmpl w:val="83782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25E4"/>
    <w:multiLevelType w:val="hybridMultilevel"/>
    <w:tmpl w:val="37F05B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E7001"/>
    <w:multiLevelType w:val="hybridMultilevel"/>
    <w:tmpl w:val="42565F9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5713F"/>
    <w:multiLevelType w:val="hybridMultilevel"/>
    <w:tmpl w:val="77C437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244AD"/>
    <w:multiLevelType w:val="hybridMultilevel"/>
    <w:tmpl w:val="240AD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0925"/>
    <w:multiLevelType w:val="hybridMultilevel"/>
    <w:tmpl w:val="F524FE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C52B2"/>
    <w:multiLevelType w:val="hybridMultilevel"/>
    <w:tmpl w:val="977272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91189"/>
    <w:multiLevelType w:val="hybridMultilevel"/>
    <w:tmpl w:val="B6741A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3649"/>
    <w:multiLevelType w:val="hybridMultilevel"/>
    <w:tmpl w:val="B11AB1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90C8A"/>
    <w:multiLevelType w:val="hybridMultilevel"/>
    <w:tmpl w:val="7D9070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03179"/>
    <w:multiLevelType w:val="hybridMultilevel"/>
    <w:tmpl w:val="52B095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9E11E4"/>
    <w:multiLevelType w:val="hybridMultilevel"/>
    <w:tmpl w:val="F4E8F2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3BBE"/>
    <w:multiLevelType w:val="hybridMultilevel"/>
    <w:tmpl w:val="0F4E82D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1235A"/>
    <w:multiLevelType w:val="hybridMultilevel"/>
    <w:tmpl w:val="EB2EF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3265F"/>
    <w:multiLevelType w:val="hybridMultilevel"/>
    <w:tmpl w:val="A336B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51CA8"/>
    <w:multiLevelType w:val="hybridMultilevel"/>
    <w:tmpl w:val="8500C2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481C50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94430"/>
    <w:multiLevelType w:val="hybridMultilevel"/>
    <w:tmpl w:val="2C68FA5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A0E93"/>
    <w:multiLevelType w:val="hybridMultilevel"/>
    <w:tmpl w:val="A104A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B0B98"/>
    <w:multiLevelType w:val="hybridMultilevel"/>
    <w:tmpl w:val="CA98D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0093F"/>
    <w:multiLevelType w:val="hybridMultilevel"/>
    <w:tmpl w:val="EACE76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8E21B8"/>
    <w:multiLevelType w:val="hybridMultilevel"/>
    <w:tmpl w:val="7646E0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561AE"/>
    <w:multiLevelType w:val="hybridMultilevel"/>
    <w:tmpl w:val="1F60FC7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D2ED4"/>
    <w:multiLevelType w:val="hybridMultilevel"/>
    <w:tmpl w:val="49CA40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65B08"/>
    <w:multiLevelType w:val="hybridMultilevel"/>
    <w:tmpl w:val="00BEDE4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9A4DB8"/>
    <w:multiLevelType w:val="hybridMultilevel"/>
    <w:tmpl w:val="91585C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F6FDC"/>
    <w:multiLevelType w:val="hybridMultilevel"/>
    <w:tmpl w:val="240ADE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A54E5"/>
    <w:multiLevelType w:val="hybridMultilevel"/>
    <w:tmpl w:val="40CAF6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B14EF"/>
    <w:multiLevelType w:val="hybridMultilevel"/>
    <w:tmpl w:val="80A480B4"/>
    <w:lvl w:ilvl="0" w:tplc="18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5878478">
    <w:abstractNumId w:val="18"/>
  </w:num>
  <w:num w:numId="2" w16cid:durableId="318509319">
    <w:abstractNumId w:val="4"/>
  </w:num>
  <w:num w:numId="3" w16cid:durableId="328018270">
    <w:abstractNumId w:val="28"/>
  </w:num>
  <w:num w:numId="4" w16cid:durableId="202062306">
    <w:abstractNumId w:val="17"/>
  </w:num>
  <w:num w:numId="5" w16cid:durableId="39715663">
    <w:abstractNumId w:val="7"/>
  </w:num>
  <w:num w:numId="6" w16cid:durableId="644436491">
    <w:abstractNumId w:val="13"/>
  </w:num>
  <w:num w:numId="7" w16cid:durableId="8916582">
    <w:abstractNumId w:val="1"/>
  </w:num>
  <w:num w:numId="8" w16cid:durableId="1368679928">
    <w:abstractNumId w:val="9"/>
  </w:num>
  <w:num w:numId="9" w16cid:durableId="1216889803">
    <w:abstractNumId w:val="26"/>
  </w:num>
  <w:num w:numId="10" w16cid:durableId="2139372208">
    <w:abstractNumId w:val="12"/>
  </w:num>
  <w:num w:numId="11" w16cid:durableId="1650281382">
    <w:abstractNumId w:val="21"/>
  </w:num>
  <w:num w:numId="12" w16cid:durableId="784151616">
    <w:abstractNumId w:val="15"/>
  </w:num>
  <w:num w:numId="13" w16cid:durableId="393898383">
    <w:abstractNumId w:val="16"/>
  </w:num>
  <w:num w:numId="14" w16cid:durableId="292370432">
    <w:abstractNumId w:val="2"/>
  </w:num>
  <w:num w:numId="15" w16cid:durableId="1382288737">
    <w:abstractNumId w:val="20"/>
  </w:num>
  <w:num w:numId="16" w16cid:durableId="1221214623">
    <w:abstractNumId w:val="10"/>
  </w:num>
  <w:num w:numId="17" w16cid:durableId="2064982274">
    <w:abstractNumId w:val="3"/>
  </w:num>
  <w:num w:numId="18" w16cid:durableId="473061748">
    <w:abstractNumId w:val="25"/>
  </w:num>
  <w:num w:numId="19" w16cid:durableId="2006009731">
    <w:abstractNumId w:val="8"/>
  </w:num>
  <w:num w:numId="20" w16cid:durableId="937254383">
    <w:abstractNumId w:val="24"/>
  </w:num>
  <w:num w:numId="21" w16cid:durableId="1460999299">
    <w:abstractNumId w:val="5"/>
  </w:num>
  <w:num w:numId="22" w16cid:durableId="472602914">
    <w:abstractNumId w:val="27"/>
  </w:num>
  <w:num w:numId="23" w16cid:durableId="1438985034">
    <w:abstractNumId w:val="6"/>
  </w:num>
  <w:num w:numId="24" w16cid:durableId="30228203">
    <w:abstractNumId w:val="0"/>
  </w:num>
  <w:num w:numId="25" w16cid:durableId="531190147">
    <w:abstractNumId w:val="19"/>
  </w:num>
  <w:num w:numId="26" w16cid:durableId="1552496700">
    <w:abstractNumId w:val="29"/>
  </w:num>
  <w:num w:numId="27" w16cid:durableId="349331059">
    <w:abstractNumId w:val="11"/>
  </w:num>
  <w:num w:numId="28" w16cid:durableId="219943898">
    <w:abstractNumId w:val="14"/>
  </w:num>
  <w:num w:numId="29" w16cid:durableId="447509274">
    <w:abstractNumId w:val="23"/>
  </w:num>
  <w:num w:numId="30" w16cid:durableId="18520629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FF"/>
    <w:rsid w:val="00024AB0"/>
    <w:rsid w:val="00040173"/>
    <w:rsid w:val="000448CB"/>
    <w:rsid w:val="00065F0D"/>
    <w:rsid w:val="00072332"/>
    <w:rsid w:val="000A7B44"/>
    <w:rsid w:val="000C351B"/>
    <w:rsid w:val="000D1525"/>
    <w:rsid w:val="000D5A78"/>
    <w:rsid w:val="000D5D08"/>
    <w:rsid w:val="00111D62"/>
    <w:rsid w:val="00142A14"/>
    <w:rsid w:val="001A43D0"/>
    <w:rsid w:val="001B0F9E"/>
    <w:rsid w:val="001F0D78"/>
    <w:rsid w:val="001F1D3E"/>
    <w:rsid w:val="00200785"/>
    <w:rsid w:val="00230CEF"/>
    <w:rsid w:val="0023542B"/>
    <w:rsid w:val="00236616"/>
    <w:rsid w:val="00263224"/>
    <w:rsid w:val="002760FF"/>
    <w:rsid w:val="00277159"/>
    <w:rsid w:val="00285F6F"/>
    <w:rsid w:val="00286FE1"/>
    <w:rsid w:val="002F0383"/>
    <w:rsid w:val="002F3437"/>
    <w:rsid w:val="00303A41"/>
    <w:rsid w:val="003A501C"/>
    <w:rsid w:val="003B423D"/>
    <w:rsid w:val="003C4D66"/>
    <w:rsid w:val="003C7E3E"/>
    <w:rsid w:val="003E2799"/>
    <w:rsid w:val="00401AD6"/>
    <w:rsid w:val="004152D7"/>
    <w:rsid w:val="00415B19"/>
    <w:rsid w:val="00426ECA"/>
    <w:rsid w:val="004B6FA3"/>
    <w:rsid w:val="004F039D"/>
    <w:rsid w:val="00521B88"/>
    <w:rsid w:val="00522FB8"/>
    <w:rsid w:val="005411AD"/>
    <w:rsid w:val="005811EA"/>
    <w:rsid w:val="005A3932"/>
    <w:rsid w:val="005C651F"/>
    <w:rsid w:val="005D457B"/>
    <w:rsid w:val="005D4ACC"/>
    <w:rsid w:val="005F6993"/>
    <w:rsid w:val="006073DF"/>
    <w:rsid w:val="00627DE4"/>
    <w:rsid w:val="0063694F"/>
    <w:rsid w:val="00637258"/>
    <w:rsid w:val="00643FB7"/>
    <w:rsid w:val="00646257"/>
    <w:rsid w:val="0065483D"/>
    <w:rsid w:val="00656943"/>
    <w:rsid w:val="006647E2"/>
    <w:rsid w:val="00665C83"/>
    <w:rsid w:val="0067666B"/>
    <w:rsid w:val="006770CD"/>
    <w:rsid w:val="006919F8"/>
    <w:rsid w:val="006A1972"/>
    <w:rsid w:val="006A560E"/>
    <w:rsid w:val="006E316F"/>
    <w:rsid w:val="0070037D"/>
    <w:rsid w:val="00704FBA"/>
    <w:rsid w:val="00713B87"/>
    <w:rsid w:val="00724E65"/>
    <w:rsid w:val="007331FE"/>
    <w:rsid w:val="00764431"/>
    <w:rsid w:val="00785DD1"/>
    <w:rsid w:val="00786B4D"/>
    <w:rsid w:val="007A5E4B"/>
    <w:rsid w:val="007A626A"/>
    <w:rsid w:val="007D784F"/>
    <w:rsid w:val="007E2180"/>
    <w:rsid w:val="00803AC5"/>
    <w:rsid w:val="008042BF"/>
    <w:rsid w:val="00805C48"/>
    <w:rsid w:val="00807FB3"/>
    <w:rsid w:val="00824967"/>
    <w:rsid w:val="008266F5"/>
    <w:rsid w:val="0086199C"/>
    <w:rsid w:val="00866592"/>
    <w:rsid w:val="0087649D"/>
    <w:rsid w:val="00880BF0"/>
    <w:rsid w:val="008A066F"/>
    <w:rsid w:val="008A0CBE"/>
    <w:rsid w:val="008A5925"/>
    <w:rsid w:val="008C3D4F"/>
    <w:rsid w:val="008C70A9"/>
    <w:rsid w:val="0093006E"/>
    <w:rsid w:val="0095060D"/>
    <w:rsid w:val="00964FFC"/>
    <w:rsid w:val="00996CF9"/>
    <w:rsid w:val="009B1FBE"/>
    <w:rsid w:val="009B730A"/>
    <w:rsid w:val="009C570E"/>
    <w:rsid w:val="009E2ED4"/>
    <w:rsid w:val="009E5DB0"/>
    <w:rsid w:val="00A039A5"/>
    <w:rsid w:val="00A04A86"/>
    <w:rsid w:val="00A10FD5"/>
    <w:rsid w:val="00A1492B"/>
    <w:rsid w:val="00A2148C"/>
    <w:rsid w:val="00A43477"/>
    <w:rsid w:val="00A63EC7"/>
    <w:rsid w:val="00A871AD"/>
    <w:rsid w:val="00AB39A1"/>
    <w:rsid w:val="00AC3E90"/>
    <w:rsid w:val="00AF33A0"/>
    <w:rsid w:val="00B118C6"/>
    <w:rsid w:val="00B35471"/>
    <w:rsid w:val="00B56BFE"/>
    <w:rsid w:val="00B61EB6"/>
    <w:rsid w:val="00B658A1"/>
    <w:rsid w:val="00B82E71"/>
    <w:rsid w:val="00B95E78"/>
    <w:rsid w:val="00BC641A"/>
    <w:rsid w:val="00BF1EE3"/>
    <w:rsid w:val="00BF48FD"/>
    <w:rsid w:val="00C127CC"/>
    <w:rsid w:val="00C12C55"/>
    <w:rsid w:val="00C179B8"/>
    <w:rsid w:val="00C346E5"/>
    <w:rsid w:val="00C604CA"/>
    <w:rsid w:val="00CB6D1C"/>
    <w:rsid w:val="00CD0A2C"/>
    <w:rsid w:val="00CD3F04"/>
    <w:rsid w:val="00D10A68"/>
    <w:rsid w:val="00D50DE1"/>
    <w:rsid w:val="00D654C3"/>
    <w:rsid w:val="00D71E09"/>
    <w:rsid w:val="00D76C2F"/>
    <w:rsid w:val="00D91378"/>
    <w:rsid w:val="00DB6F99"/>
    <w:rsid w:val="00DD0DC9"/>
    <w:rsid w:val="00E05CB0"/>
    <w:rsid w:val="00E77053"/>
    <w:rsid w:val="00E86986"/>
    <w:rsid w:val="00E90848"/>
    <w:rsid w:val="00E90DE3"/>
    <w:rsid w:val="00EA2CEF"/>
    <w:rsid w:val="00EF060B"/>
    <w:rsid w:val="00F0263D"/>
    <w:rsid w:val="00F1446F"/>
    <w:rsid w:val="00F312DF"/>
    <w:rsid w:val="00F41187"/>
    <w:rsid w:val="00F42DAE"/>
    <w:rsid w:val="00F437C4"/>
    <w:rsid w:val="00F67493"/>
    <w:rsid w:val="00F94268"/>
    <w:rsid w:val="00FA4DC7"/>
    <w:rsid w:val="00FB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00D4E"/>
  <w15:chartTrackingRefBased/>
  <w15:docId w15:val="{3A4C7183-5DD1-4AD2-9004-2C384F5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760FF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276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0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276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6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F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1C33-496F-4B3D-A5CA-8A282E37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Egan</dc:creator>
  <cp:keywords/>
  <dc:description/>
  <cp:lastModifiedBy>John Egan</cp:lastModifiedBy>
  <cp:revision>23</cp:revision>
  <cp:lastPrinted>2022-06-10T11:37:00Z</cp:lastPrinted>
  <dcterms:created xsi:type="dcterms:W3CDTF">2022-10-21T04:30:00Z</dcterms:created>
  <dcterms:modified xsi:type="dcterms:W3CDTF">2022-10-21T06:45:00Z</dcterms:modified>
</cp:coreProperties>
</file>