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B5B96" w14:textId="5B45F04B" w:rsidR="0065398E" w:rsidRDefault="006137E5" w:rsidP="008A0E3C">
      <w:pPr>
        <w:pStyle w:val="DKMBody"/>
        <w:spacing w:line="276" w:lineRule="auto"/>
      </w:pPr>
      <w:bookmarkStart w:id="0" w:name="_GoBack"/>
      <w:bookmarkEnd w:id="0"/>
      <w:r>
        <w:t xml:space="preserve"> </w:t>
      </w:r>
      <w:r w:rsidR="00231A13">
        <w:t xml:space="preserve"> </w:t>
      </w:r>
      <w:r w:rsidR="0065398E">
        <w:t xml:space="preserve"> </w:t>
      </w:r>
    </w:p>
    <w:sdt>
      <w:sdtPr>
        <w:rPr>
          <w:sz w:val="72"/>
          <w:szCs w:val="72"/>
        </w:rPr>
        <w:id w:val="8976592"/>
        <w:docPartObj>
          <w:docPartGallery w:val="Cover Pages"/>
          <w:docPartUnique/>
        </w:docPartObj>
      </w:sdtPr>
      <w:sdtEndPr>
        <w:rPr>
          <w:color w:val="98002E"/>
        </w:rPr>
      </w:sdtEndPr>
      <w:sdtContent>
        <w:p w14:paraId="33EE4F91" w14:textId="6619BD35" w:rsidR="005E66CB" w:rsidRDefault="005E66CB" w:rsidP="00916E0D">
          <w:pPr>
            <w:pStyle w:val="DKMBody"/>
            <w:spacing w:line="276" w:lineRule="auto"/>
            <w:jc w:val="center"/>
            <w:rPr>
              <w:sz w:val="72"/>
              <w:szCs w:val="72"/>
            </w:rPr>
          </w:pPr>
        </w:p>
        <w:p w14:paraId="20513D63" w14:textId="77777777" w:rsidR="00D223C5" w:rsidRDefault="00D223C5" w:rsidP="00916E0D">
          <w:pPr>
            <w:pStyle w:val="DKMBody"/>
            <w:spacing w:line="276" w:lineRule="auto"/>
            <w:jc w:val="center"/>
            <w:rPr>
              <w:sz w:val="72"/>
              <w:szCs w:val="72"/>
            </w:rPr>
          </w:pPr>
        </w:p>
        <w:p w14:paraId="0DB21E48" w14:textId="77777777" w:rsidR="00D223C5" w:rsidRPr="00916E0D" w:rsidRDefault="00D223C5" w:rsidP="00916E0D">
          <w:pPr>
            <w:pStyle w:val="DKMBody"/>
            <w:spacing w:line="276" w:lineRule="auto"/>
            <w:jc w:val="center"/>
            <w:rPr>
              <w:sz w:val="72"/>
              <w:szCs w:val="72"/>
            </w:rPr>
          </w:pPr>
        </w:p>
        <w:p w14:paraId="58C8FC6A" w14:textId="77777777" w:rsidR="00916E0D" w:rsidRPr="00D223C5" w:rsidRDefault="00CA36AC" w:rsidP="00916E0D">
          <w:pPr>
            <w:pStyle w:val="NoSpacing"/>
            <w:ind w:left="-2410"/>
            <w:jc w:val="center"/>
            <w:rPr>
              <w:rFonts w:asciiTheme="majorHAnsi" w:eastAsiaTheme="majorEastAsia" w:hAnsiTheme="majorHAnsi" w:cstheme="majorBidi"/>
              <w:color w:val="005596"/>
              <w:sz w:val="72"/>
              <w:szCs w:val="72"/>
              <w:lang w:val="en-IE"/>
            </w:rPr>
          </w:pPr>
          <w:r w:rsidRPr="00D223C5">
            <w:rPr>
              <w:noProof/>
              <w:color w:val="005596"/>
              <w:sz w:val="72"/>
              <w:szCs w:val="72"/>
              <w:lang w:val="en-IE" w:eastAsia="en-IE"/>
            </w:rPr>
            <mc:AlternateContent>
              <mc:Choice Requires="wps">
                <w:drawing>
                  <wp:anchor distT="0" distB="0" distL="114300" distR="114300" simplePos="0" relativeHeight="251670528" behindDoc="0" locked="0" layoutInCell="1" allowOverlap="1" wp14:anchorId="4D563B7A" wp14:editId="270CF359">
                    <wp:simplePos x="0" y="0"/>
                    <wp:positionH relativeFrom="column">
                      <wp:posOffset>3002915</wp:posOffset>
                    </wp:positionH>
                    <wp:positionV relativeFrom="paragraph">
                      <wp:posOffset>6373495</wp:posOffset>
                    </wp:positionV>
                    <wp:extent cx="1664970" cy="2169795"/>
                    <wp:effectExtent l="0" t="8255" r="1905" b="317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16979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841D2" w14:textId="77777777" w:rsidR="00862D82" w:rsidRPr="005B79FC" w:rsidRDefault="00862D82" w:rsidP="005B79FC">
                                <w:pPr>
                                  <w:jc w:val="right"/>
                                  <w:rPr>
                                    <w:color w:val="FFFFFF" w:themeColor="background1"/>
                                    <w:sz w:val="32"/>
                                    <w:szCs w:val="32"/>
                                  </w:rPr>
                                </w:pPr>
                                <w:r w:rsidRPr="005B79FC">
                                  <w:rPr>
                                    <w:color w:val="FFFFFF" w:themeColor="background1"/>
                                    <w:sz w:val="32"/>
                                    <w:szCs w:val="32"/>
                                  </w:rPr>
                                  <w:t xml:space="preserve">Prepared for the </w:t>
                                </w:r>
                              </w:p>
                              <w:p w14:paraId="71A1F6D8" w14:textId="77777777" w:rsidR="00862D82" w:rsidRDefault="00862D82" w:rsidP="005B79FC">
                                <w:pPr>
                                  <w:jc w:val="right"/>
                                  <w:rPr>
                                    <w:color w:val="FFFFFF" w:themeColor="background1"/>
                                    <w:sz w:val="40"/>
                                    <w:szCs w:val="40"/>
                                  </w:rPr>
                                </w:pPr>
                              </w:p>
                              <w:p w14:paraId="6D87A956" w14:textId="77777777" w:rsidR="00862D82" w:rsidRPr="005B79FC" w:rsidRDefault="00862D82" w:rsidP="005B79FC">
                                <w:pPr>
                                  <w:jc w:val="right"/>
                                  <w:rPr>
                                    <w:color w:val="FFFFFF" w:themeColor="background1"/>
                                    <w:sz w:val="44"/>
                                    <w:szCs w:val="44"/>
                                  </w:rPr>
                                </w:pPr>
                                <w:r>
                                  <w:rPr>
                                    <w:color w:val="FFFFFF" w:themeColor="background1"/>
                                    <w:sz w:val="40"/>
                                    <w:szCs w:val="40"/>
                                  </w:rPr>
                                  <w:t>Construction Industry Federation</w:t>
                                </w:r>
                              </w:p>
                              <w:p w14:paraId="0878459A" w14:textId="77777777" w:rsidR="00862D82" w:rsidRDefault="00862D82" w:rsidP="005B79FC">
                                <w:pPr>
                                  <w:jc w:val="right"/>
                                  <w:rPr>
                                    <w:color w:val="FFFFFF" w:themeColor="background1"/>
                                    <w:sz w:val="36"/>
                                    <w:szCs w:val="36"/>
                                  </w:rPr>
                                </w:pPr>
                              </w:p>
                              <w:p w14:paraId="0912D414" w14:textId="064DD510" w:rsidR="00862D82" w:rsidRPr="005B79FC" w:rsidRDefault="00862D82" w:rsidP="005B79FC">
                                <w:pPr>
                                  <w:jc w:val="right"/>
                                  <w:rPr>
                                    <w:color w:val="FFFFFF" w:themeColor="background1"/>
                                    <w:sz w:val="32"/>
                                    <w:szCs w:val="32"/>
                                  </w:rPr>
                                </w:pPr>
                                <w:r>
                                  <w:rPr>
                                    <w:color w:val="FFFFFF" w:themeColor="background1"/>
                                    <w:sz w:val="32"/>
                                    <w:szCs w:val="32"/>
                                  </w:rPr>
                                  <w:t>March</w:t>
                                </w:r>
                                <w:r w:rsidRPr="005B79FC">
                                  <w:rPr>
                                    <w:color w:val="FFFFFF" w:themeColor="background1"/>
                                    <w:sz w:val="32"/>
                                    <w:szCs w:val="3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63B7A" id="_x0000_t202" coordsize="21600,21600" o:spt="202" path="m,l,21600r21600,l21600,xe">
                    <v:stroke joinstyle="miter"/>
                    <v:path gradientshapeok="t" o:connecttype="rect"/>
                  </v:shapetype>
                  <v:shape id="Text Box 14" o:spid="_x0000_s1026" type="#_x0000_t202" style="position:absolute;left:0;text-align:left;margin-left:236.45pt;margin-top:501.85pt;width:131.1pt;height:1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" fillcolor="white [3212]" stroked="f">
                    <v:fill opacity="0"/>
                    <v:textbox>
                      <w:txbxContent>
                        <w:p w14:paraId="441841D2" w14:textId="77777777" w:rsidR="00862D82" w:rsidRPr="005B79FC" w:rsidRDefault="00862D82" w:rsidP="005B79FC">
                          <w:pPr>
                            <w:jc w:val="right"/>
                            <w:rPr>
                              <w:color w:val="FFFFFF" w:themeColor="background1"/>
                              <w:sz w:val="32"/>
                              <w:szCs w:val="32"/>
                            </w:rPr>
                          </w:pPr>
                          <w:r w:rsidRPr="005B79FC">
                            <w:rPr>
                              <w:color w:val="FFFFFF" w:themeColor="background1"/>
                              <w:sz w:val="32"/>
                              <w:szCs w:val="32"/>
                            </w:rPr>
                            <w:t xml:space="preserve">Prepared for the </w:t>
                          </w:r>
                        </w:p>
                        <w:p w14:paraId="71A1F6D8" w14:textId="77777777" w:rsidR="00862D82" w:rsidRDefault="00862D82" w:rsidP="005B79FC">
                          <w:pPr>
                            <w:jc w:val="right"/>
                            <w:rPr>
                              <w:color w:val="FFFFFF" w:themeColor="background1"/>
                              <w:sz w:val="40"/>
                              <w:szCs w:val="40"/>
                            </w:rPr>
                          </w:pPr>
                        </w:p>
                        <w:p w14:paraId="6D87A956" w14:textId="77777777" w:rsidR="00862D82" w:rsidRPr="005B79FC" w:rsidRDefault="00862D82" w:rsidP="005B79FC">
                          <w:pPr>
                            <w:jc w:val="right"/>
                            <w:rPr>
                              <w:color w:val="FFFFFF" w:themeColor="background1"/>
                              <w:sz w:val="44"/>
                              <w:szCs w:val="44"/>
                            </w:rPr>
                          </w:pPr>
                          <w:r>
                            <w:rPr>
                              <w:color w:val="FFFFFF" w:themeColor="background1"/>
                              <w:sz w:val="40"/>
                              <w:szCs w:val="40"/>
                            </w:rPr>
                            <w:t>Construction Industry Federation</w:t>
                          </w:r>
                        </w:p>
                        <w:p w14:paraId="0878459A" w14:textId="77777777" w:rsidR="00862D82" w:rsidRDefault="00862D82" w:rsidP="005B79FC">
                          <w:pPr>
                            <w:jc w:val="right"/>
                            <w:rPr>
                              <w:color w:val="FFFFFF" w:themeColor="background1"/>
                              <w:sz w:val="36"/>
                              <w:szCs w:val="36"/>
                            </w:rPr>
                          </w:pPr>
                        </w:p>
                        <w:p w14:paraId="0912D414" w14:textId="064DD510" w:rsidR="00862D82" w:rsidRPr="005B79FC" w:rsidRDefault="00862D82" w:rsidP="005B79FC">
                          <w:pPr>
                            <w:jc w:val="right"/>
                            <w:rPr>
                              <w:color w:val="FFFFFF" w:themeColor="background1"/>
                              <w:sz w:val="32"/>
                              <w:szCs w:val="32"/>
                            </w:rPr>
                          </w:pPr>
                          <w:r>
                            <w:rPr>
                              <w:color w:val="FFFFFF" w:themeColor="background1"/>
                              <w:sz w:val="32"/>
                              <w:szCs w:val="32"/>
                            </w:rPr>
                            <w:t>March</w:t>
                          </w:r>
                          <w:r w:rsidRPr="005B79FC">
                            <w:rPr>
                              <w:color w:val="FFFFFF" w:themeColor="background1"/>
                              <w:sz w:val="32"/>
                              <w:szCs w:val="32"/>
                            </w:rPr>
                            <w:t xml:space="preserve"> 2017</w:t>
                          </w:r>
                        </w:p>
                      </w:txbxContent>
                    </v:textbox>
                  </v:shape>
                </w:pict>
              </mc:Fallback>
            </mc:AlternateContent>
          </w:r>
          <w:r w:rsidR="00916E0D" w:rsidRPr="00D223C5">
            <w:rPr>
              <w:rFonts w:asciiTheme="majorHAnsi" w:eastAsiaTheme="majorEastAsia" w:hAnsiTheme="majorHAnsi" w:cstheme="majorBidi"/>
              <w:color w:val="005596"/>
              <w:sz w:val="72"/>
              <w:szCs w:val="72"/>
              <w:lang w:val="en-IE"/>
            </w:rPr>
            <w:t xml:space="preserve">CIF Submission to </w:t>
          </w:r>
        </w:p>
        <w:p w14:paraId="532FBCCE" w14:textId="77777777" w:rsidR="00916E0D" w:rsidRPr="00D223C5" w:rsidRDefault="00916E0D" w:rsidP="00916E0D">
          <w:pPr>
            <w:pStyle w:val="NoSpacing"/>
            <w:ind w:left="-2410"/>
            <w:jc w:val="center"/>
            <w:rPr>
              <w:rFonts w:asciiTheme="majorHAnsi" w:eastAsiaTheme="majorEastAsia" w:hAnsiTheme="majorHAnsi" w:cstheme="majorBidi"/>
              <w:color w:val="005596"/>
              <w:sz w:val="72"/>
              <w:szCs w:val="72"/>
              <w:lang w:val="en-IE"/>
            </w:rPr>
          </w:pPr>
        </w:p>
        <w:p w14:paraId="573C1C3C" w14:textId="651FE4D3" w:rsidR="00916E0D" w:rsidRPr="00D223C5" w:rsidRDefault="00916E0D" w:rsidP="00916E0D">
          <w:pPr>
            <w:pStyle w:val="NoSpacing"/>
            <w:ind w:left="-2410"/>
            <w:jc w:val="center"/>
            <w:rPr>
              <w:rFonts w:asciiTheme="majorHAnsi" w:eastAsiaTheme="majorEastAsia" w:hAnsiTheme="majorHAnsi" w:cstheme="majorBidi"/>
              <w:color w:val="005596"/>
              <w:sz w:val="72"/>
              <w:szCs w:val="72"/>
              <w:lang w:val="en-IE"/>
            </w:rPr>
          </w:pPr>
          <w:r w:rsidRPr="00D223C5">
            <w:rPr>
              <w:rFonts w:asciiTheme="majorHAnsi" w:eastAsiaTheme="majorEastAsia" w:hAnsiTheme="majorHAnsi" w:cstheme="majorBidi"/>
              <w:color w:val="005596"/>
              <w:sz w:val="72"/>
              <w:szCs w:val="72"/>
              <w:lang w:val="en-IE"/>
            </w:rPr>
            <w:t>Committee on Budgetary Oversight</w:t>
          </w:r>
        </w:p>
        <w:p w14:paraId="139A6BAA" w14:textId="77777777" w:rsidR="00916E0D" w:rsidRPr="00D223C5" w:rsidRDefault="00916E0D" w:rsidP="00916E0D">
          <w:pPr>
            <w:pStyle w:val="NoSpacing"/>
            <w:ind w:left="-2410"/>
            <w:jc w:val="center"/>
            <w:rPr>
              <w:rFonts w:asciiTheme="majorHAnsi" w:eastAsiaTheme="majorEastAsia" w:hAnsiTheme="majorHAnsi" w:cstheme="majorBidi"/>
              <w:color w:val="005596"/>
              <w:sz w:val="72"/>
              <w:szCs w:val="72"/>
              <w:lang w:val="en-IE"/>
            </w:rPr>
          </w:pPr>
        </w:p>
        <w:p w14:paraId="7631F15D" w14:textId="77777777" w:rsidR="00F809C8" w:rsidRDefault="00F809C8" w:rsidP="00916E0D">
          <w:pPr>
            <w:pStyle w:val="NoSpacing"/>
            <w:ind w:left="-2410"/>
            <w:jc w:val="center"/>
            <w:rPr>
              <w:rFonts w:asciiTheme="majorHAnsi" w:eastAsiaTheme="majorEastAsia" w:hAnsiTheme="majorHAnsi" w:cstheme="majorBidi"/>
              <w:color w:val="005596"/>
              <w:sz w:val="72"/>
              <w:szCs w:val="72"/>
              <w:lang w:val="en-IE"/>
            </w:rPr>
          </w:pPr>
        </w:p>
        <w:p w14:paraId="75056C47" w14:textId="66D73AF9" w:rsidR="00F809C8" w:rsidRPr="00F809C8" w:rsidRDefault="00F809C8" w:rsidP="00916E0D">
          <w:pPr>
            <w:pStyle w:val="NoSpacing"/>
            <w:ind w:left="-2410"/>
            <w:jc w:val="center"/>
            <w:rPr>
              <w:color w:val="005596"/>
              <w:sz w:val="36"/>
              <w:szCs w:val="36"/>
            </w:rPr>
          </w:pPr>
          <w:r w:rsidRPr="00F809C8">
            <w:rPr>
              <w:rFonts w:asciiTheme="majorHAnsi" w:eastAsiaTheme="majorEastAsia" w:hAnsiTheme="majorHAnsi" w:cstheme="majorBidi"/>
              <w:color w:val="005596"/>
              <w:sz w:val="36"/>
              <w:szCs w:val="36"/>
              <w:lang w:val="en-IE"/>
            </w:rPr>
            <w:t>28</w:t>
          </w:r>
          <w:r w:rsidRPr="00F809C8">
            <w:rPr>
              <w:rFonts w:asciiTheme="majorHAnsi" w:eastAsiaTheme="majorEastAsia" w:hAnsiTheme="majorHAnsi" w:cstheme="majorBidi"/>
              <w:color w:val="005596"/>
              <w:sz w:val="36"/>
              <w:szCs w:val="36"/>
              <w:vertAlign w:val="superscript"/>
              <w:lang w:val="en-IE"/>
            </w:rPr>
            <w:t>th</w:t>
          </w:r>
          <w:r w:rsidRPr="00F809C8">
            <w:rPr>
              <w:rFonts w:asciiTheme="majorHAnsi" w:eastAsiaTheme="majorEastAsia" w:hAnsiTheme="majorHAnsi" w:cstheme="majorBidi"/>
              <w:color w:val="005596"/>
              <w:sz w:val="36"/>
              <w:szCs w:val="36"/>
              <w:lang w:val="en-IE"/>
            </w:rPr>
            <w:t xml:space="preserve"> March 2017</w:t>
          </w:r>
        </w:p>
        <w:p w14:paraId="586F317C" w14:textId="0CBD98AE" w:rsidR="005E66CB" w:rsidRPr="00916E0D" w:rsidRDefault="005E66CB" w:rsidP="00916E0D">
          <w:pPr>
            <w:spacing w:line="276" w:lineRule="auto"/>
            <w:jc w:val="center"/>
            <w:rPr>
              <w:b/>
              <w:smallCaps/>
              <w:color w:val="98002E"/>
              <w:sz w:val="72"/>
              <w:szCs w:val="72"/>
            </w:rPr>
          </w:pPr>
          <w:r w:rsidRPr="00916E0D">
            <w:rPr>
              <w:color w:val="98002E"/>
              <w:sz w:val="72"/>
              <w:szCs w:val="72"/>
            </w:rPr>
            <w:br w:type="page"/>
          </w:r>
        </w:p>
      </w:sdtContent>
    </w:sdt>
    <w:p w14:paraId="3CCA4AA6" w14:textId="77777777" w:rsidR="00B01666" w:rsidRPr="0063437E" w:rsidRDefault="00B01666" w:rsidP="0063437E">
      <w:pPr>
        <w:pStyle w:val="TableofFigures"/>
        <w:tabs>
          <w:tab w:val="right" w:leader="dot" w:pos="7359"/>
        </w:tabs>
        <w:spacing w:line="240" w:lineRule="auto"/>
        <w:jc w:val="center"/>
        <w:rPr>
          <w:color w:val="98002E"/>
          <w:sz w:val="24"/>
          <w:szCs w:val="24"/>
        </w:rPr>
      </w:pPr>
      <w:r w:rsidRPr="0063437E">
        <w:rPr>
          <w:color w:val="98002E"/>
          <w:sz w:val="24"/>
          <w:szCs w:val="24"/>
        </w:rPr>
        <w:lastRenderedPageBreak/>
        <w:t>Table of Contents</w:t>
      </w:r>
    </w:p>
    <w:p w14:paraId="3DFBCBB7" w14:textId="77777777" w:rsidR="00D223C5" w:rsidRDefault="004947CE">
      <w:pPr>
        <w:pStyle w:val="TOC1"/>
        <w:tabs>
          <w:tab w:val="right" w:leader="dot" w:pos="7359"/>
        </w:tabs>
        <w:rPr>
          <w:rFonts w:asciiTheme="minorHAnsi" w:hAnsiTheme="minorHAnsi"/>
          <w:caps w:val="0"/>
          <w:noProof/>
          <w:color w:val="auto"/>
        </w:rPr>
      </w:pPr>
      <w:r w:rsidRPr="007B3AB8">
        <w:rPr>
          <w:rFonts w:asciiTheme="minorHAnsi" w:hAnsiTheme="minorHAnsi"/>
        </w:rPr>
        <w:fldChar w:fldCharType="begin"/>
      </w:r>
      <w:r w:rsidR="00B01666" w:rsidRPr="007B3AB8">
        <w:rPr>
          <w:rFonts w:asciiTheme="minorHAnsi" w:hAnsiTheme="minorHAnsi"/>
        </w:rPr>
        <w:instrText xml:space="preserve"> TOC \h \z \u \t "DKM1,1,DKM2,2" </w:instrText>
      </w:r>
      <w:r w:rsidRPr="007B3AB8">
        <w:rPr>
          <w:rFonts w:asciiTheme="minorHAnsi" w:hAnsiTheme="minorHAnsi"/>
        </w:rPr>
        <w:fldChar w:fldCharType="separate"/>
      </w:r>
      <w:hyperlink w:anchor="_Toc478116678" w:history="1">
        <w:r w:rsidR="00D223C5" w:rsidRPr="00CB680E">
          <w:rPr>
            <w:rStyle w:val="Hyperlink"/>
            <w:noProof/>
          </w:rPr>
          <w:t>Executive summary and Recommendations</w:t>
        </w:r>
        <w:r w:rsidR="00D223C5">
          <w:rPr>
            <w:noProof/>
            <w:webHidden/>
          </w:rPr>
          <w:tab/>
        </w:r>
        <w:r w:rsidR="00D223C5">
          <w:rPr>
            <w:noProof/>
            <w:webHidden/>
          </w:rPr>
          <w:fldChar w:fldCharType="begin"/>
        </w:r>
        <w:r w:rsidR="00D223C5">
          <w:rPr>
            <w:noProof/>
            <w:webHidden/>
          </w:rPr>
          <w:instrText xml:space="preserve"> PAGEREF _Toc478116678 \h </w:instrText>
        </w:r>
        <w:r w:rsidR="00D223C5">
          <w:rPr>
            <w:noProof/>
            <w:webHidden/>
          </w:rPr>
        </w:r>
        <w:r w:rsidR="00D223C5">
          <w:rPr>
            <w:noProof/>
            <w:webHidden/>
          </w:rPr>
          <w:fldChar w:fldCharType="separate"/>
        </w:r>
        <w:r w:rsidR="00164DEA">
          <w:rPr>
            <w:noProof/>
            <w:webHidden/>
          </w:rPr>
          <w:t>i</w:t>
        </w:r>
        <w:r w:rsidR="00D223C5">
          <w:rPr>
            <w:noProof/>
            <w:webHidden/>
          </w:rPr>
          <w:fldChar w:fldCharType="end"/>
        </w:r>
      </w:hyperlink>
    </w:p>
    <w:p w14:paraId="7FC30577" w14:textId="77777777" w:rsidR="00D223C5" w:rsidRDefault="00DB2739">
      <w:pPr>
        <w:pStyle w:val="TOC1"/>
        <w:tabs>
          <w:tab w:val="left" w:pos="440"/>
          <w:tab w:val="right" w:leader="dot" w:pos="7359"/>
        </w:tabs>
        <w:rPr>
          <w:rFonts w:asciiTheme="minorHAnsi" w:hAnsiTheme="minorHAnsi"/>
          <w:caps w:val="0"/>
          <w:noProof/>
          <w:color w:val="auto"/>
        </w:rPr>
      </w:pPr>
      <w:hyperlink w:anchor="_Toc478116679" w:history="1">
        <w:r w:rsidR="00D223C5" w:rsidRPr="00CB680E">
          <w:rPr>
            <w:rStyle w:val="Hyperlink"/>
            <w:noProof/>
          </w:rPr>
          <w:t>1.</w:t>
        </w:r>
        <w:r w:rsidR="00D223C5">
          <w:rPr>
            <w:rFonts w:asciiTheme="minorHAnsi" w:hAnsiTheme="minorHAnsi"/>
            <w:caps w:val="0"/>
            <w:noProof/>
            <w:color w:val="auto"/>
          </w:rPr>
          <w:tab/>
        </w:r>
        <w:r w:rsidR="00D223C5" w:rsidRPr="00CB680E">
          <w:rPr>
            <w:rStyle w:val="Hyperlink"/>
            <w:noProof/>
          </w:rPr>
          <w:t>Introduction</w:t>
        </w:r>
        <w:r w:rsidR="00D223C5">
          <w:rPr>
            <w:noProof/>
            <w:webHidden/>
          </w:rPr>
          <w:tab/>
        </w:r>
        <w:r w:rsidR="00D223C5">
          <w:rPr>
            <w:noProof/>
            <w:webHidden/>
          </w:rPr>
          <w:fldChar w:fldCharType="begin"/>
        </w:r>
        <w:r w:rsidR="00D223C5">
          <w:rPr>
            <w:noProof/>
            <w:webHidden/>
          </w:rPr>
          <w:instrText xml:space="preserve"> PAGEREF _Toc478116679 \h </w:instrText>
        </w:r>
        <w:r w:rsidR="00D223C5">
          <w:rPr>
            <w:noProof/>
            <w:webHidden/>
          </w:rPr>
        </w:r>
        <w:r w:rsidR="00D223C5">
          <w:rPr>
            <w:noProof/>
            <w:webHidden/>
          </w:rPr>
          <w:fldChar w:fldCharType="separate"/>
        </w:r>
        <w:r w:rsidR="00164DEA">
          <w:rPr>
            <w:noProof/>
            <w:webHidden/>
          </w:rPr>
          <w:t>1</w:t>
        </w:r>
        <w:r w:rsidR="00D223C5">
          <w:rPr>
            <w:noProof/>
            <w:webHidden/>
          </w:rPr>
          <w:fldChar w:fldCharType="end"/>
        </w:r>
      </w:hyperlink>
    </w:p>
    <w:p w14:paraId="77B5AC33"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80" w:history="1">
        <w:r w:rsidR="00D223C5" w:rsidRPr="00CB680E">
          <w:rPr>
            <w:rStyle w:val="Hyperlink"/>
            <w:noProof/>
          </w:rPr>
          <w:t>1.1</w:t>
        </w:r>
        <w:r w:rsidR="00D223C5">
          <w:rPr>
            <w:rFonts w:asciiTheme="minorHAnsi" w:hAnsiTheme="minorHAnsi"/>
            <w:smallCaps w:val="0"/>
            <w:noProof/>
            <w:color w:val="auto"/>
          </w:rPr>
          <w:tab/>
        </w:r>
        <w:r w:rsidR="00D223C5" w:rsidRPr="00CB680E">
          <w:rPr>
            <w:rStyle w:val="Hyperlink"/>
            <w:noProof/>
          </w:rPr>
          <w:t>This Submission</w:t>
        </w:r>
        <w:r w:rsidR="00D223C5">
          <w:rPr>
            <w:noProof/>
            <w:webHidden/>
          </w:rPr>
          <w:tab/>
        </w:r>
        <w:r w:rsidR="00D223C5">
          <w:rPr>
            <w:noProof/>
            <w:webHidden/>
          </w:rPr>
          <w:fldChar w:fldCharType="begin"/>
        </w:r>
        <w:r w:rsidR="00D223C5">
          <w:rPr>
            <w:noProof/>
            <w:webHidden/>
          </w:rPr>
          <w:instrText xml:space="preserve"> PAGEREF _Toc478116680 \h </w:instrText>
        </w:r>
        <w:r w:rsidR="00D223C5">
          <w:rPr>
            <w:noProof/>
            <w:webHidden/>
          </w:rPr>
        </w:r>
        <w:r w:rsidR="00D223C5">
          <w:rPr>
            <w:noProof/>
            <w:webHidden/>
          </w:rPr>
          <w:fldChar w:fldCharType="separate"/>
        </w:r>
        <w:r w:rsidR="00164DEA">
          <w:rPr>
            <w:noProof/>
            <w:webHidden/>
          </w:rPr>
          <w:t>1</w:t>
        </w:r>
        <w:r w:rsidR="00D223C5">
          <w:rPr>
            <w:noProof/>
            <w:webHidden/>
          </w:rPr>
          <w:fldChar w:fldCharType="end"/>
        </w:r>
      </w:hyperlink>
    </w:p>
    <w:p w14:paraId="0F9C180B"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81" w:history="1">
        <w:r w:rsidR="00D223C5" w:rsidRPr="00CB680E">
          <w:rPr>
            <w:rStyle w:val="Hyperlink"/>
            <w:noProof/>
          </w:rPr>
          <w:t>1.2</w:t>
        </w:r>
        <w:r w:rsidR="00D223C5">
          <w:rPr>
            <w:rFonts w:asciiTheme="minorHAnsi" w:hAnsiTheme="minorHAnsi"/>
            <w:smallCaps w:val="0"/>
            <w:noProof/>
            <w:color w:val="auto"/>
          </w:rPr>
          <w:tab/>
        </w:r>
        <w:r w:rsidR="00D223C5" w:rsidRPr="00CB680E">
          <w:rPr>
            <w:rStyle w:val="Hyperlink"/>
            <w:noProof/>
          </w:rPr>
          <w:t>Construction Industry Context</w:t>
        </w:r>
        <w:r w:rsidR="00D223C5">
          <w:rPr>
            <w:noProof/>
            <w:webHidden/>
          </w:rPr>
          <w:tab/>
        </w:r>
        <w:r w:rsidR="00D223C5">
          <w:rPr>
            <w:noProof/>
            <w:webHidden/>
          </w:rPr>
          <w:fldChar w:fldCharType="begin"/>
        </w:r>
        <w:r w:rsidR="00D223C5">
          <w:rPr>
            <w:noProof/>
            <w:webHidden/>
          </w:rPr>
          <w:instrText xml:space="preserve"> PAGEREF _Toc478116681 \h </w:instrText>
        </w:r>
        <w:r w:rsidR="00D223C5">
          <w:rPr>
            <w:noProof/>
            <w:webHidden/>
          </w:rPr>
        </w:r>
        <w:r w:rsidR="00D223C5">
          <w:rPr>
            <w:noProof/>
            <w:webHidden/>
          </w:rPr>
          <w:fldChar w:fldCharType="separate"/>
        </w:r>
        <w:r w:rsidR="00164DEA">
          <w:rPr>
            <w:noProof/>
            <w:webHidden/>
          </w:rPr>
          <w:t>3</w:t>
        </w:r>
        <w:r w:rsidR="00D223C5">
          <w:rPr>
            <w:noProof/>
            <w:webHidden/>
          </w:rPr>
          <w:fldChar w:fldCharType="end"/>
        </w:r>
      </w:hyperlink>
    </w:p>
    <w:p w14:paraId="725306AE"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82" w:history="1">
        <w:r w:rsidR="00D223C5" w:rsidRPr="00CB680E">
          <w:rPr>
            <w:rStyle w:val="Hyperlink"/>
            <w:noProof/>
          </w:rPr>
          <w:t>1.3</w:t>
        </w:r>
        <w:r w:rsidR="00D223C5">
          <w:rPr>
            <w:rFonts w:asciiTheme="minorHAnsi" w:hAnsiTheme="minorHAnsi"/>
            <w:smallCaps w:val="0"/>
            <w:noProof/>
            <w:color w:val="auto"/>
          </w:rPr>
          <w:tab/>
        </w:r>
        <w:r w:rsidR="00D223C5" w:rsidRPr="00CB680E">
          <w:rPr>
            <w:rStyle w:val="Hyperlink"/>
            <w:noProof/>
          </w:rPr>
          <w:t>Prospects for the Construction Industry</w:t>
        </w:r>
        <w:r w:rsidR="00D223C5">
          <w:rPr>
            <w:noProof/>
            <w:webHidden/>
          </w:rPr>
          <w:tab/>
        </w:r>
        <w:r w:rsidR="00D223C5">
          <w:rPr>
            <w:noProof/>
            <w:webHidden/>
          </w:rPr>
          <w:fldChar w:fldCharType="begin"/>
        </w:r>
        <w:r w:rsidR="00D223C5">
          <w:rPr>
            <w:noProof/>
            <w:webHidden/>
          </w:rPr>
          <w:instrText xml:space="preserve"> PAGEREF _Toc478116682 \h </w:instrText>
        </w:r>
        <w:r w:rsidR="00D223C5">
          <w:rPr>
            <w:noProof/>
            <w:webHidden/>
          </w:rPr>
        </w:r>
        <w:r w:rsidR="00D223C5">
          <w:rPr>
            <w:noProof/>
            <w:webHidden/>
          </w:rPr>
          <w:fldChar w:fldCharType="separate"/>
        </w:r>
        <w:r w:rsidR="00164DEA">
          <w:rPr>
            <w:noProof/>
            <w:webHidden/>
          </w:rPr>
          <w:t>4</w:t>
        </w:r>
        <w:r w:rsidR="00D223C5">
          <w:rPr>
            <w:noProof/>
            <w:webHidden/>
          </w:rPr>
          <w:fldChar w:fldCharType="end"/>
        </w:r>
      </w:hyperlink>
    </w:p>
    <w:p w14:paraId="76343340"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83" w:history="1">
        <w:r w:rsidR="00D223C5" w:rsidRPr="00CB680E">
          <w:rPr>
            <w:rStyle w:val="Hyperlink"/>
            <w:noProof/>
          </w:rPr>
          <w:t>1.4</w:t>
        </w:r>
        <w:r w:rsidR="00D223C5">
          <w:rPr>
            <w:rFonts w:asciiTheme="minorHAnsi" w:hAnsiTheme="minorHAnsi"/>
            <w:smallCaps w:val="0"/>
            <w:noProof/>
            <w:color w:val="auto"/>
          </w:rPr>
          <w:tab/>
        </w:r>
        <w:r w:rsidR="00D223C5" w:rsidRPr="00CB680E">
          <w:rPr>
            <w:rStyle w:val="Hyperlink"/>
            <w:noProof/>
          </w:rPr>
          <w:t>Skills Capacity Issue</w:t>
        </w:r>
        <w:r w:rsidR="00D223C5">
          <w:rPr>
            <w:noProof/>
            <w:webHidden/>
          </w:rPr>
          <w:tab/>
        </w:r>
        <w:r w:rsidR="00D223C5">
          <w:rPr>
            <w:noProof/>
            <w:webHidden/>
          </w:rPr>
          <w:fldChar w:fldCharType="begin"/>
        </w:r>
        <w:r w:rsidR="00D223C5">
          <w:rPr>
            <w:noProof/>
            <w:webHidden/>
          </w:rPr>
          <w:instrText xml:space="preserve"> PAGEREF _Toc478116683 \h </w:instrText>
        </w:r>
        <w:r w:rsidR="00D223C5">
          <w:rPr>
            <w:noProof/>
            <w:webHidden/>
          </w:rPr>
        </w:r>
        <w:r w:rsidR="00D223C5">
          <w:rPr>
            <w:noProof/>
            <w:webHidden/>
          </w:rPr>
          <w:fldChar w:fldCharType="separate"/>
        </w:r>
        <w:r w:rsidR="00164DEA">
          <w:rPr>
            <w:noProof/>
            <w:webHidden/>
          </w:rPr>
          <w:t>4</w:t>
        </w:r>
        <w:r w:rsidR="00D223C5">
          <w:rPr>
            <w:noProof/>
            <w:webHidden/>
          </w:rPr>
          <w:fldChar w:fldCharType="end"/>
        </w:r>
      </w:hyperlink>
    </w:p>
    <w:p w14:paraId="4B9F09C6"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84" w:history="1">
        <w:r w:rsidR="00D223C5" w:rsidRPr="00CB680E">
          <w:rPr>
            <w:rStyle w:val="Hyperlink"/>
            <w:noProof/>
          </w:rPr>
          <w:t>1.5</w:t>
        </w:r>
        <w:r w:rsidR="00D223C5">
          <w:rPr>
            <w:rFonts w:asciiTheme="minorHAnsi" w:hAnsiTheme="minorHAnsi"/>
            <w:smallCaps w:val="0"/>
            <w:noProof/>
            <w:color w:val="auto"/>
          </w:rPr>
          <w:tab/>
        </w:r>
        <w:r w:rsidR="00D223C5" w:rsidRPr="00CB680E">
          <w:rPr>
            <w:rStyle w:val="Hyperlink"/>
            <w:noProof/>
          </w:rPr>
          <w:t>Building Cost Inflation</w:t>
        </w:r>
        <w:r w:rsidR="00D223C5">
          <w:rPr>
            <w:noProof/>
            <w:webHidden/>
          </w:rPr>
          <w:tab/>
        </w:r>
        <w:r w:rsidR="00D223C5">
          <w:rPr>
            <w:noProof/>
            <w:webHidden/>
          </w:rPr>
          <w:fldChar w:fldCharType="begin"/>
        </w:r>
        <w:r w:rsidR="00D223C5">
          <w:rPr>
            <w:noProof/>
            <w:webHidden/>
          </w:rPr>
          <w:instrText xml:space="preserve"> PAGEREF _Toc478116684 \h </w:instrText>
        </w:r>
        <w:r w:rsidR="00D223C5">
          <w:rPr>
            <w:noProof/>
            <w:webHidden/>
          </w:rPr>
        </w:r>
        <w:r w:rsidR="00D223C5">
          <w:rPr>
            <w:noProof/>
            <w:webHidden/>
          </w:rPr>
          <w:fldChar w:fldCharType="separate"/>
        </w:r>
        <w:r w:rsidR="00164DEA">
          <w:rPr>
            <w:noProof/>
            <w:webHidden/>
          </w:rPr>
          <w:t>5</w:t>
        </w:r>
        <w:r w:rsidR="00D223C5">
          <w:rPr>
            <w:noProof/>
            <w:webHidden/>
          </w:rPr>
          <w:fldChar w:fldCharType="end"/>
        </w:r>
      </w:hyperlink>
    </w:p>
    <w:p w14:paraId="2F46BD95"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85" w:history="1">
        <w:r w:rsidR="00D223C5" w:rsidRPr="00CB680E">
          <w:rPr>
            <w:rStyle w:val="Hyperlink"/>
            <w:noProof/>
          </w:rPr>
          <w:t>1.6</w:t>
        </w:r>
        <w:r w:rsidR="00D223C5">
          <w:rPr>
            <w:rFonts w:asciiTheme="minorHAnsi" w:hAnsiTheme="minorHAnsi"/>
            <w:smallCaps w:val="0"/>
            <w:noProof/>
            <w:color w:val="auto"/>
          </w:rPr>
          <w:tab/>
        </w:r>
        <w:r w:rsidR="00D223C5" w:rsidRPr="00CB680E">
          <w:rPr>
            <w:rStyle w:val="Hyperlink"/>
            <w:noProof/>
          </w:rPr>
          <w:t>Recommendations</w:t>
        </w:r>
        <w:r w:rsidR="00D223C5">
          <w:rPr>
            <w:noProof/>
            <w:webHidden/>
          </w:rPr>
          <w:tab/>
        </w:r>
        <w:r w:rsidR="00D223C5">
          <w:rPr>
            <w:noProof/>
            <w:webHidden/>
          </w:rPr>
          <w:fldChar w:fldCharType="begin"/>
        </w:r>
        <w:r w:rsidR="00D223C5">
          <w:rPr>
            <w:noProof/>
            <w:webHidden/>
          </w:rPr>
          <w:instrText xml:space="preserve"> PAGEREF _Toc478116685 \h </w:instrText>
        </w:r>
        <w:r w:rsidR="00D223C5">
          <w:rPr>
            <w:noProof/>
            <w:webHidden/>
          </w:rPr>
        </w:r>
        <w:r w:rsidR="00D223C5">
          <w:rPr>
            <w:noProof/>
            <w:webHidden/>
          </w:rPr>
          <w:fldChar w:fldCharType="separate"/>
        </w:r>
        <w:r w:rsidR="00164DEA">
          <w:rPr>
            <w:noProof/>
            <w:webHidden/>
          </w:rPr>
          <w:t>7</w:t>
        </w:r>
        <w:r w:rsidR="00D223C5">
          <w:rPr>
            <w:noProof/>
            <w:webHidden/>
          </w:rPr>
          <w:fldChar w:fldCharType="end"/>
        </w:r>
      </w:hyperlink>
    </w:p>
    <w:p w14:paraId="47E3D000" w14:textId="77777777" w:rsidR="00D223C5" w:rsidRDefault="00DB2739">
      <w:pPr>
        <w:pStyle w:val="TOC1"/>
        <w:tabs>
          <w:tab w:val="left" w:pos="440"/>
          <w:tab w:val="right" w:leader="dot" w:pos="7359"/>
        </w:tabs>
        <w:rPr>
          <w:rFonts w:asciiTheme="minorHAnsi" w:hAnsiTheme="minorHAnsi"/>
          <w:caps w:val="0"/>
          <w:noProof/>
          <w:color w:val="auto"/>
        </w:rPr>
      </w:pPr>
      <w:hyperlink w:anchor="_Toc478116686" w:history="1">
        <w:r w:rsidR="00D223C5" w:rsidRPr="00CB680E">
          <w:rPr>
            <w:rStyle w:val="Hyperlink"/>
            <w:noProof/>
          </w:rPr>
          <w:t>2.</w:t>
        </w:r>
        <w:r w:rsidR="00D223C5">
          <w:rPr>
            <w:rFonts w:asciiTheme="minorHAnsi" w:hAnsiTheme="minorHAnsi"/>
            <w:caps w:val="0"/>
            <w:noProof/>
            <w:color w:val="auto"/>
          </w:rPr>
          <w:tab/>
        </w:r>
        <w:r w:rsidR="00D223C5" w:rsidRPr="00CB680E">
          <w:rPr>
            <w:rStyle w:val="Hyperlink"/>
            <w:noProof/>
          </w:rPr>
          <w:t>Key Bottlenecks and RationalE for Public Investment</w:t>
        </w:r>
        <w:r w:rsidR="00D223C5">
          <w:rPr>
            <w:noProof/>
            <w:webHidden/>
          </w:rPr>
          <w:tab/>
        </w:r>
        <w:r w:rsidR="00D223C5">
          <w:rPr>
            <w:noProof/>
            <w:webHidden/>
          </w:rPr>
          <w:fldChar w:fldCharType="begin"/>
        </w:r>
        <w:r w:rsidR="00D223C5">
          <w:rPr>
            <w:noProof/>
            <w:webHidden/>
          </w:rPr>
          <w:instrText xml:space="preserve"> PAGEREF _Toc478116686 \h </w:instrText>
        </w:r>
        <w:r w:rsidR="00D223C5">
          <w:rPr>
            <w:noProof/>
            <w:webHidden/>
          </w:rPr>
        </w:r>
        <w:r w:rsidR="00D223C5">
          <w:rPr>
            <w:noProof/>
            <w:webHidden/>
          </w:rPr>
          <w:fldChar w:fldCharType="separate"/>
        </w:r>
        <w:r w:rsidR="00164DEA">
          <w:rPr>
            <w:noProof/>
            <w:webHidden/>
          </w:rPr>
          <w:t>8</w:t>
        </w:r>
        <w:r w:rsidR="00D223C5">
          <w:rPr>
            <w:noProof/>
            <w:webHidden/>
          </w:rPr>
          <w:fldChar w:fldCharType="end"/>
        </w:r>
      </w:hyperlink>
    </w:p>
    <w:p w14:paraId="09AF65CC"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87" w:history="1">
        <w:r w:rsidR="00D223C5" w:rsidRPr="00CB680E">
          <w:rPr>
            <w:rStyle w:val="Hyperlink"/>
            <w:noProof/>
          </w:rPr>
          <w:t>2.1</w:t>
        </w:r>
        <w:r w:rsidR="00D223C5">
          <w:rPr>
            <w:rFonts w:asciiTheme="minorHAnsi" w:hAnsiTheme="minorHAnsi"/>
            <w:smallCaps w:val="0"/>
            <w:noProof/>
            <w:color w:val="auto"/>
          </w:rPr>
          <w:tab/>
        </w:r>
        <w:r w:rsidR="00D223C5" w:rsidRPr="00CB680E">
          <w:rPr>
            <w:rStyle w:val="Hyperlink"/>
            <w:noProof/>
          </w:rPr>
          <w:t>Does Ireland have an Infrastructure Deficit?</w:t>
        </w:r>
        <w:r w:rsidR="00D223C5">
          <w:rPr>
            <w:noProof/>
            <w:webHidden/>
          </w:rPr>
          <w:tab/>
        </w:r>
        <w:r w:rsidR="00D223C5">
          <w:rPr>
            <w:noProof/>
            <w:webHidden/>
          </w:rPr>
          <w:fldChar w:fldCharType="begin"/>
        </w:r>
        <w:r w:rsidR="00D223C5">
          <w:rPr>
            <w:noProof/>
            <w:webHidden/>
          </w:rPr>
          <w:instrText xml:space="preserve"> PAGEREF _Toc478116687 \h </w:instrText>
        </w:r>
        <w:r w:rsidR="00D223C5">
          <w:rPr>
            <w:noProof/>
            <w:webHidden/>
          </w:rPr>
        </w:r>
        <w:r w:rsidR="00D223C5">
          <w:rPr>
            <w:noProof/>
            <w:webHidden/>
          </w:rPr>
          <w:fldChar w:fldCharType="separate"/>
        </w:r>
        <w:r w:rsidR="00164DEA">
          <w:rPr>
            <w:noProof/>
            <w:webHidden/>
          </w:rPr>
          <w:t>8</w:t>
        </w:r>
        <w:r w:rsidR="00D223C5">
          <w:rPr>
            <w:noProof/>
            <w:webHidden/>
          </w:rPr>
          <w:fldChar w:fldCharType="end"/>
        </w:r>
      </w:hyperlink>
    </w:p>
    <w:p w14:paraId="28E0F5C3"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88" w:history="1">
        <w:r w:rsidR="00D223C5" w:rsidRPr="00CB680E">
          <w:rPr>
            <w:rStyle w:val="Hyperlink"/>
            <w:noProof/>
          </w:rPr>
          <w:t>2.2</w:t>
        </w:r>
        <w:r w:rsidR="00D223C5">
          <w:rPr>
            <w:rFonts w:asciiTheme="minorHAnsi" w:hAnsiTheme="minorHAnsi"/>
            <w:smallCaps w:val="0"/>
            <w:noProof/>
            <w:color w:val="auto"/>
          </w:rPr>
          <w:tab/>
        </w:r>
        <w:r w:rsidR="00D223C5" w:rsidRPr="00CB680E">
          <w:rPr>
            <w:rStyle w:val="Hyperlink"/>
            <w:noProof/>
          </w:rPr>
          <w:t>Key Bottlenecks in the Economy</w:t>
        </w:r>
        <w:r w:rsidR="00D223C5">
          <w:rPr>
            <w:noProof/>
            <w:webHidden/>
          </w:rPr>
          <w:tab/>
        </w:r>
        <w:r w:rsidR="00D223C5">
          <w:rPr>
            <w:noProof/>
            <w:webHidden/>
          </w:rPr>
          <w:fldChar w:fldCharType="begin"/>
        </w:r>
        <w:r w:rsidR="00D223C5">
          <w:rPr>
            <w:noProof/>
            <w:webHidden/>
          </w:rPr>
          <w:instrText xml:space="preserve"> PAGEREF _Toc478116688 \h </w:instrText>
        </w:r>
        <w:r w:rsidR="00D223C5">
          <w:rPr>
            <w:noProof/>
            <w:webHidden/>
          </w:rPr>
        </w:r>
        <w:r w:rsidR="00D223C5">
          <w:rPr>
            <w:noProof/>
            <w:webHidden/>
          </w:rPr>
          <w:fldChar w:fldCharType="separate"/>
        </w:r>
        <w:r w:rsidR="00164DEA">
          <w:rPr>
            <w:noProof/>
            <w:webHidden/>
          </w:rPr>
          <w:t>10</w:t>
        </w:r>
        <w:r w:rsidR="00D223C5">
          <w:rPr>
            <w:noProof/>
            <w:webHidden/>
          </w:rPr>
          <w:fldChar w:fldCharType="end"/>
        </w:r>
      </w:hyperlink>
    </w:p>
    <w:p w14:paraId="59410B96"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89" w:history="1">
        <w:r w:rsidR="00D223C5" w:rsidRPr="00CB680E">
          <w:rPr>
            <w:rStyle w:val="Hyperlink"/>
            <w:noProof/>
          </w:rPr>
          <w:t>2.3</w:t>
        </w:r>
        <w:r w:rsidR="00D223C5">
          <w:rPr>
            <w:rFonts w:asciiTheme="minorHAnsi" w:hAnsiTheme="minorHAnsi"/>
            <w:smallCaps w:val="0"/>
            <w:noProof/>
            <w:color w:val="auto"/>
          </w:rPr>
          <w:tab/>
        </w:r>
        <w:r w:rsidR="00D223C5" w:rsidRPr="00CB680E">
          <w:rPr>
            <w:rStyle w:val="Hyperlink"/>
            <w:noProof/>
          </w:rPr>
          <w:t>Addressing Long-Term Infrastructure Planning</w:t>
        </w:r>
        <w:r w:rsidR="00D223C5">
          <w:rPr>
            <w:noProof/>
            <w:webHidden/>
          </w:rPr>
          <w:tab/>
        </w:r>
        <w:r w:rsidR="00D223C5">
          <w:rPr>
            <w:noProof/>
            <w:webHidden/>
          </w:rPr>
          <w:fldChar w:fldCharType="begin"/>
        </w:r>
        <w:r w:rsidR="00D223C5">
          <w:rPr>
            <w:noProof/>
            <w:webHidden/>
          </w:rPr>
          <w:instrText xml:space="preserve"> PAGEREF _Toc478116689 \h </w:instrText>
        </w:r>
        <w:r w:rsidR="00D223C5">
          <w:rPr>
            <w:noProof/>
            <w:webHidden/>
          </w:rPr>
        </w:r>
        <w:r w:rsidR="00D223C5">
          <w:rPr>
            <w:noProof/>
            <w:webHidden/>
          </w:rPr>
          <w:fldChar w:fldCharType="separate"/>
        </w:r>
        <w:r w:rsidR="00164DEA">
          <w:rPr>
            <w:noProof/>
            <w:webHidden/>
          </w:rPr>
          <w:t>12</w:t>
        </w:r>
        <w:r w:rsidR="00D223C5">
          <w:rPr>
            <w:noProof/>
            <w:webHidden/>
          </w:rPr>
          <w:fldChar w:fldCharType="end"/>
        </w:r>
      </w:hyperlink>
    </w:p>
    <w:p w14:paraId="2F6659DA"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90" w:history="1">
        <w:r w:rsidR="00D223C5" w:rsidRPr="00CB680E">
          <w:rPr>
            <w:rStyle w:val="Hyperlink"/>
            <w:noProof/>
          </w:rPr>
          <w:t>2.4</w:t>
        </w:r>
        <w:r w:rsidR="00D223C5">
          <w:rPr>
            <w:rFonts w:asciiTheme="minorHAnsi" w:hAnsiTheme="minorHAnsi"/>
            <w:smallCaps w:val="0"/>
            <w:noProof/>
            <w:color w:val="auto"/>
          </w:rPr>
          <w:tab/>
        </w:r>
        <w:r w:rsidR="00D223C5" w:rsidRPr="00CB680E">
          <w:rPr>
            <w:rStyle w:val="Hyperlink"/>
            <w:noProof/>
          </w:rPr>
          <w:t>Why Invest in Public Infrastructure?</w:t>
        </w:r>
        <w:r w:rsidR="00D223C5">
          <w:rPr>
            <w:noProof/>
            <w:webHidden/>
          </w:rPr>
          <w:tab/>
        </w:r>
        <w:r w:rsidR="00D223C5">
          <w:rPr>
            <w:noProof/>
            <w:webHidden/>
          </w:rPr>
          <w:fldChar w:fldCharType="begin"/>
        </w:r>
        <w:r w:rsidR="00D223C5">
          <w:rPr>
            <w:noProof/>
            <w:webHidden/>
          </w:rPr>
          <w:instrText xml:space="preserve"> PAGEREF _Toc478116690 \h </w:instrText>
        </w:r>
        <w:r w:rsidR="00D223C5">
          <w:rPr>
            <w:noProof/>
            <w:webHidden/>
          </w:rPr>
        </w:r>
        <w:r w:rsidR="00D223C5">
          <w:rPr>
            <w:noProof/>
            <w:webHidden/>
          </w:rPr>
          <w:fldChar w:fldCharType="separate"/>
        </w:r>
        <w:r w:rsidR="00164DEA">
          <w:rPr>
            <w:noProof/>
            <w:webHidden/>
          </w:rPr>
          <w:t>13</w:t>
        </w:r>
        <w:r w:rsidR="00D223C5">
          <w:rPr>
            <w:noProof/>
            <w:webHidden/>
          </w:rPr>
          <w:fldChar w:fldCharType="end"/>
        </w:r>
      </w:hyperlink>
    </w:p>
    <w:p w14:paraId="0491CA4E"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91" w:history="1">
        <w:r w:rsidR="00D223C5" w:rsidRPr="00CB680E">
          <w:rPr>
            <w:rStyle w:val="Hyperlink"/>
            <w:noProof/>
          </w:rPr>
          <w:t>2.5</w:t>
        </w:r>
        <w:r w:rsidR="00D223C5">
          <w:rPr>
            <w:rFonts w:asciiTheme="minorHAnsi" w:hAnsiTheme="minorHAnsi"/>
            <w:smallCaps w:val="0"/>
            <w:noProof/>
            <w:color w:val="auto"/>
          </w:rPr>
          <w:tab/>
        </w:r>
        <w:r w:rsidR="00D223C5" w:rsidRPr="00CB680E">
          <w:rPr>
            <w:rStyle w:val="Hyperlink"/>
            <w:noProof/>
          </w:rPr>
          <w:t>Recommendations</w:t>
        </w:r>
        <w:r w:rsidR="00D223C5">
          <w:rPr>
            <w:noProof/>
            <w:webHidden/>
          </w:rPr>
          <w:tab/>
        </w:r>
        <w:r w:rsidR="00D223C5">
          <w:rPr>
            <w:noProof/>
            <w:webHidden/>
          </w:rPr>
          <w:fldChar w:fldCharType="begin"/>
        </w:r>
        <w:r w:rsidR="00D223C5">
          <w:rPr>
            <w:noProof/>
            <w:webHidden/>
          </w:rPr>
          <w:instrText xml:space="preserve"> PAGEREF _Toc478116691 \h </w:instrText>
        </w:r>
        <w:r w:rsidR="00D223C5">
          <w:rPr>
            <w:noProof/>
            <w:webHidden/>
          </w:rPr>
        </w:r>
        <w:r w:rsidR="00D223C5">
          <w:rPr>
            <w:noProof/>
            <w:webHidden/>
          </w:rPr>
          <w:fldChar w:fldCharType="separate"/>
        </w:r>
        <w:r w:rsidR="00164DEA">
          <w:rPr>
            <w:noProof/>
            <w:webHidden/>
          </w:rPr>
          <w:t>15</w:t>
        </w:r>
        <w:r w:rsidR="00D223C5">
          <w:rPr>
            <w:noProof/>
            <w:webHidden/>
          </w:rPr>
          <w:fldChar w:fldCharType="end"/>
        </w:r>
      </w:hyperlink>
    </w:p>
    <w:p w14:paraId="680AB819" w14:textId="77777777" w:rsidR="00D223C5" w:rsidRDefault="00DB2739">
      <w:pPr>
        <w:pStyle w:val="TOC1"/>
        <w:tabs>
          <w:tab w:val="left" w:pos="440"/>
          <w:tab w:val="right" w:leader="dot" w:pos="7359"/>
        </w:tabs>
        <w:rPr>
          <w:rFonts w:asciiTheme="minorHAnsi" w:hAnsiTheme="minorHAnsi"/>
          <w:caps w:val="0"/>
          <w:noProof/>
          <w:color w:val="auto"/>
        </w:rPr>
      </w:pPr>
      <w:hyperlink w:anchor="_Toc478116692" w:history="1">
        <w:r w:rsidR="00D223C5" w:rsidRPr="00CB680E">
          <w:rPr>
            <w:rStyle w:val="Hyperlink"/>
            <w:noProof/>
          </w:rPr>
          <w:t>3.</w:t>
        </w:r>
        <w:r w:rsidR="00D223C5">
          <w:rPr>
            <w:rFonts w:asciiTheme="minorHAnsi" w:hAnsiTheme="minorHAnsi"/>
            <w:caps w:val="0"/>
            <w:noProof/>
            <w:color w:val="auto"/>
          </w:rPr>
          <w:tab/>
        </w:r>
        <w:r w:rsidR="00D223C5" w:rsidRPr="00CB680E">
          <w:rPr>
            <w:rStyle w:val="Hyperlink"/>
            <w:noProof/>
          </w:rPr>
          <w:t>Public Capital Investment Trends</w:t>
        </w:r>
        <w:r w:rsidR="00D223C5">
          <w:rPr>
            <w:noProof/>
            <w:webHidden/>
          </w:rPr>
          <w:tab/>
        </w:r>
        <w:r w:rsidR="00D223C5">
          <w:rPr>
            <w:noProof/>
            <w:webHidden/>
          </w:rPr>
          <w:fldChar w:fldCharType="begin"/>
        </w:r>
        <w:r w:rsidR="00D223C5">
          <w:rPr>
            <w:noProof/>
            <w:webHidden/>
          </w:rPr>
          <w:instrText xml:space="preserve"> PAGEREF _Toc478116692 \h </w:instrText>
        </w:r>
        <w:r w:rsidR="00D223C5">
          <w:rPr>
            <w:noProof/>
            <w:webHidden/>
          </w:rPr>
        </w:r>
        <w:r w:rsidR="00D223C5">
          <w:rPr>
            <w:noProof/>
            <w:webHidden/>
          </w:rPr>
          <w:fldChar w:fldCharType="separate"/>
        </w:r>
        <w:r w:rsidR="00164DEA">
          <w:rPr>
            <w:noProof/>
            <w:webHidden/>
          </w:rPr>
          <w:t>17</w:t>
        </w:r>
        <w:r w:rsidR="00D223C5">
          <w:rPr>
            <w:noProof/>
            <w:webHidden/>
          </w:rPr>
          <w:fldChar w:fldCharType="end"/>
        </w:r>
      </w:hyperlink>
    </w:p>
    <w:p w14:paraId="7E4585E6"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93" w:history="1">
        <w:r w:rsidR="00D223C5" w:rsidRPr="00CB680E">
          <w:rPr>
            <w:rStyle w:val="Hyperlink"/>
            <w:noProof/>
          </w:rPr>
          <w:t>3.1</w:t>
        </w:r>
        <w:r w:rsidR="00D223C5">
          <w:rPr>
            <w:rFonts w:asciiTheme="minorHAnsi" w:hAnsiTheme="minorHAnsi"/>
            <w:smallCaps w:val="0"/>
            <w:noProof/>
            <w:color w:val="auto"/>
          </w:rPr>
          <w:tab/>
        </w:r>
        <w:r w:rsidR="00D223C5" w:rsidRPr="00CB680E">
          <w:rPr>
            <w:rStyle w:val="Hyperlink"/>
            <w:noProof/>
          </w:rPr>
          <w:t>Public Capital Investment Review</w:t>
        </w:r>
        <w:r w:rsidR="00D223C5">
          <w:rPr>
            <w:noProof/>
            <w:webHidden/>
          </w:rPr>
          <w:tab/>
        </w:r>
        <w:r w:rsidR="00D223C5">
          <w:rPr>
            <w:noProof/>
            <w:webHidden/>
          </w:rPr>
          <w:fldChar w:fldCharType="begin"/>
        </w:r>
        <w:r w:rsidR="00D223C5">
          <w:rPr>
            <w:noProof/>
            <w:webHidden/>
          </w:rPr>
          <w:instrText xml:space="preserve"> PAGEREF _Toc478116693 \h </w:instrText>
        </w:r>
        <w:r w:rsidR="00D223C5">
          <w:rPr>
            <w:noProof/>
            <w:webHidden/>
          </w:rPr>
        </w:r>
        <w:r w:rsidR="00D223C5">
          <w:rPr>
            <w:noProof/>
            <w:webHidden/>
          </w:rPr>
          <w:fldChar w:fldCharType="separate"/>
        </w:r>
        <w:r w:rsidR="00164DEA">
          <w:rPr>
            <w:noProof/>
            <w:webHidden/>
          </w:rPr>
          <w:t>17</w:t>
        </w:r>
        <w:r w:rsidR="00D223C5">
          <w:rPr>
            <w:noProof/>
            <w:webHidden/>
          </w:rPr>
          <w:fldChar w:fldCharType="end"/>
        </w:r>
      </w:hyperlink>
    </w:p>
    <w:p w14:paraId="4C2EBB32"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94" w:history="1">
        <w:r w:rsidR="00D223C5" w:rsidRPr="00CB680E">
          <w:rPr>
            <w:rStyle w:val="Hyperlink"/>
            <w:noProof/>
          </w:rPr>
          <w:t>3.2</w:t>
        </w:r>
        <w:r w:rsidR="00D223C5">
          <w:rPr>
            <w:rFonts w:asciiTheme="minorHAnsi" w:hAnsiTheme="minorHAnsi"/>
            <w:smallCaps w:val="0"/>
            <w:noProof/>
            <w:color w:val="auto"/>
          </w:rPr>
          <w:tab/>
        </w:r>
        <w:r w:rsidR="00D223C5" w:rsidRPr="00CB680E">
          <w:rPr>
            <w:rStyle w:val="Hyperlink"/>
            <w:noProof/>
          </w:rPr>
          <w:t>Public Capital Investment Prospects</w:t>
        </w:r>
        <w:r w:rsidR="00D223C5">
          <w:rPr>
            <w:noProof/>
            <w:webHidden/>
          </w:rPr>
          <w:tab/>
        </w:r>
        <w:r w:rsidR="00D223C5">
          <w:rPr>
            <w:noProof/>
            <w:webHidden/>
          </w:rPr>
          <w:fldChar w:fldCharType="begin"/>
        </w:r>
        <w:r w:rsidR="00D223C5">
          <w:rPr>
            <w:noProof/>
            <w:webHidden/>
          </w:rPr>
          <w:instrText xml:space="preserve"> PAGEREF _Toc478116694 \h </w:instrText>
        </w:r>
        <w:r w:rsidR="00D223C5">
          <w:rPr>
            <w:noProof/>
            <w:webHidden/>
          </w:rPr>
        </w:r>
        <w:r w:rsidR="00D223C5">
          <w:rPr>
            <w:noProof/>
            <w:webHidden/>
          </w:rPr>
          <w:fldChar w:fldCharType="separate"/>
        </w:r>
        <w:r w:rsidR="00164DEA">
          <w:rPr>
            <w:noProof/>
            <w:webHidden/>
          </w:rPr>
          <w:t>18</w:t>
        </w:r>
        <w:r w:rsidR="00D223C5">
          <w:rPr>
            <w:noProof/>
            <w:webHidden/>
          </w:rPr>
          <w:fldChar w:fldCharType="end"/>
        </w:r>
      </w:hyperlink>
    </w:p>
    <w:p w14:paraId="37D043B5"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95" w:history="1">
        <w:r w:rsidR="00D223C5" w:rsidRPr="00CB680E">
          <w:rPr>
            <w:rStyle w:val="Hyperlink"/>
            <w:noProof/>
          </w:rPr>
          <w:t>3.3</w:t>
        </w:r>
        <w:r w:rsidR="00D223C5">
          <w:rPr>
            <w:rFonts w:asciiTheme="minorHAnsi" w:hAnsiTheme="minorHAnsi"/>
            <w:smallCaps w:val="0"/>
            <w:noProof/>
            <w:color w:val="auto"/>
          </w:rPr>
          <w:tab/>
        </w:r>
        <w:r w:rsidR="00D223C5" w:rsidRPr="00CB680E">
          <w:rPr>
            <w:rStyle w:val="Hyperlink"/>
            <w:noProof/>
          </w:rPr>
          <w:t>Fiscal Space and the Implications for Construction Investment</w:t>
        </w:r>
        <w:r w:rsidR="00D223C5">
          <w:rPr>
            <w:noProof/>
            <w:webHidden/>
          </w:rPr>
          <w:tab/>
        </w:r>
        <w:r w:rsidR="00D223C5">
          <w:rPr>
            <w:noProof/>
            <w:webHidden/>
          </w:rPr>
          <w:fldChar w:fldCharType="begin"/>
        </w:r>
        <w:r w:rsidR="00D223C5">
          <w:rPr>
            <w:noProof/>
            <w:webHidden/>
          </w:rPr>
          <w:instrText xml:space="preserve"> PAGEREF _Toc478116695 \h </w:instrText>
        </w:r>
        <w:r w:rsidR="00D223C5">
          <w:rPr>
            <w:noProof/>
            <w:webHidden/>
          </w:rPr>
        </w:r>
        <w:r w:rsidR="00D223C5">
          <w:rPr>
            <w:noProof/>
            <w:webHidden/>
          </w:rPr>
          <w:fldChar w:fldCharType="separate"/>
        </w:r>
        <w:r w:rsidR="00164DEA">
          <w:rPr>
            <w:noProof/>
            <w:webHidden/>
          </w:rPr>
          <w:t>24</w:t>
        </w:r>
        <w:r w:rsidR="00D223C5">
          <w:rPr>
            <w:noProof/>
            <w:webHidden/>
          </w:rPr>
          <w:fldChar w:fldCharType="end"/>
        </w:r>
      </w:hyperlink>
    </w:p>
    <w:p w14:paraId="4BC248BA"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96" w:history="1">
        <w:r w:rsidR="00D223C5" w:rsidRPr="00CB680E">
          <w:rPr>
            <w:rStyle w:val="Hyperlink"/>
            <w:noProof/>
          </w:rPr>
          <w:t>3.4</w:t>
        </w:r>
        <w:r w:rsidR="00D223C5">
          <w:rPr>
            <w:rFonts w:asciiTheme="minorHAnsi" w:hAnsiTheme="minorHAnsi"/>
            <w:smallCaps w:val="0"/>
            <w:noProof/>
            <w:color w:val="auto"/>
          </w:rPr>
          <w:tab/>
        </w:r>
        <w:r w:rsidR="00D223C5" w:rsidRPr="00CB680E">
          <w:rPr>
            <w:rStyle w:val="Hyperlink"/>
            <w:noProof/>
          </w:rPr>
          <w:t>Flexibility in the Fiscal Rules</w:t>
        </w:r>
        <w:r w:rsidR="00D223C5">
          <w:rPr>
            <w:noProof/>
            <w:webHidden/>
          </w:rPr>
          <w:tab/>
        </w:r>
        <w:r w:rsidR="00D223C5">
          <w:rPr>
            <w:noProof/>
            <w:webHidden/>
          </w:rPr>
          <w:fldChar w:fldCharType="begin"/>
        </w:r>
        <w:r w:rsidR="00D223C5">
          <w:rPr>
            <w:noProof/>
            <w:webHidden/>
          </w:rPr>
          <w:instrText xml:space="preserve"> PAGEREF _Toc478116696 \h </w:instrText>
        </w:r>
        <w:r w:rsidR="00D223C5">
          <w:rPr>
            <w:noProof/>
            <w:webHidden/>
          </w:rPr>
        </w:r>
        <w:r w:rsidR="00D223C5">
          <w:rPr>
            <w:noProof/>
            <w:webHidden/>
          </w:rPr>
          <w:fldChar w:fldCharType="separate"/>
        </w:r>
        <w:r w:rsidR="00164DEA">
          <w:rPr>
            <w:noProof/>
            <w:webHidden/>
          </w:rPr>
          <w:t>26</w:t>
        </w:r>
        <w:r w:rsidR="00D223C5">
          <w:rPr>
            <w:noProof/>
            <w:webHidden/>
          </w:rPr>
          <w:fldChar w:fldCharType="end"/>
        </w:r>
      </w:hyperlink>
    </w:p>
    <w:p w14:paraId="776CD677"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97" w:history="1">
        <w:r w:rsidR="00D223C5" w:rsidRPr="00CB680E">
          <w:rPr>
            <w:rStyle w:val="Hyperlink"/>
            <w:noProof/>
          </w:rPr>
          <w:t>3.5</w:t>
        </w:r>
        <w:r w:rsidR="00D223C5">
          <w:rPr>
            <w:rFonts w:asciiTheme="minorHAnsi" w:hAnsiTheme="minorHAnsi"/>
            <w:smallCaps w:val="0"/>
            <w:noProof/>
            <w:color w:val="auto"/>
          </w:rPr>
          <w:tab/>
        </w:r>
        <w:r w:rsidR="00D223C5" w:rsidRPr="00CB680E">
          <w:rPr>
            <w:rStyle w:val="Hyperlink"/>
            <w:noProof/>
          </w:rPr>
          <w:t>Recommendations</w:t>
        </w:r>
        <w:r w:rsidR="00D223C5">
          <w:rPr>
            <w:noProof/>
            <w:webHidden/>
          </w:rPr>
          <w:tab/>
        </w:r>
        <w:r w:rsidR="00D223C5">
          <w:rPr>
            <w:noProof/>
            <w:webHidden/>
          </w:rPr>
          <w:fldChar w:fldCharType="begin"/>
        </w:r>
        <w:r w:rsidR="00D223C5">
          <w:rPr>
            <w:noProof/>
            <w:webHidden/>
          </w:rPr>
          <w:instrText xml:space="preserve"> PAGEREF _Toc478116697 \h </w:instrText>
        </w:r>
        <w:r w:rsidR="00D223C5">
          <w:rPr>
            <w:noProof/>
            <w:webHidden/>
          </w:rPr>
        </w:r>
        <w:r w:rsidR="00D223C5">
          <w:rPr>
            <w:noProof/>
            <w:webHidden/>
          </w:rPr>
          <w:fldChar w:fldCharType="separate"/>
        </w:r>
        <w:r w:rsidR="00164DEA">
          <w:rPr>
            <w:noProof/>
            <w:webHidden/>
          </w:rPr>
          <w:t>28</w:t>
        </w:r>
        <w:r w:rsidR="00D223C5">
          <w:rPr>
            <w:noProof/>
            <w:webHidden/>
          </w:rPr>
          <w:fldChar w:fldCharType="end"/>
        </w:r>
      </w:hyperlink>
    </w:p>
    <w:p w14:paraId="256C9DB3" w14:textId="77777777" w:rsidR="00D223C5" w:rsidRDefault="00DB2739">
      <w:pPr>
        <w:pStyle w:val="TOC1"/>
        <w:tabs>
          <w:tab w:val="left" w:pos="440"/>
          <w:tab w:val="right" w:leader="dot" w:pos="7359"/>
        </w:tabs>
        <w:rPr>
          <w:rFonts w:asciiTheme="minorHAnsi" w:hAnsiTheme="minorHAnsi"/>
          <w:caps w:val="0"/>
          <w:noProof/>
          <w:color w:val="auto"/>
        </w:rPr>
      </w:pPr>
      <w:hyperlink w:anchor="_Toc478116698" w:history="1">
        <w:r w:rsidR="00D223C5" w:rsidRPr="00CB680E">
          <w:rPr>
            <w:rStyle w:val="Hyperlink"/>
            <w:noProof/>
          </w:rPr>
          <w:t>4.</w:t>
        </w:r>
        <w:r w:rsidR="00D223C5">
          <w:rPr>
            <w:rFonts w:asciiTheme="minorHAnsi" w:hAnsiTheme="minorHAnsi"/>
            <w:caps w:val="0"/>
            <w:noProof/>
            <w:color w:val="auto"/>
          </w:rPr>
          <w:tab/>
        </w:r>
        <w:r w:rsidR="00D223C5" w:rsidRPr="00CB680E">
          <w:rPr>
            <w:rStyle w:val="Hyperlink"/>
            <w:noProof/>
          </w:rPr>
          <w:t>Other Sources of Funding for Public Infrastructure</w:t>
        </w:r>
        <w:r w:rsidR="00D223C5">
          <w:rPr>
            <w:noProof/>
            <w:webHidden/>
          </w:rPr>
          <w:tab/>
        </w:r>
        <w:r w:rsidR="00D223C5">
          <w:rPr>
            <w:noProof/>
            <w:webHidden/>
          </w:rPr>
          <w:fldChar w:fldCharType="begin"/>
        </w:r>
        <w:r w:rsidR="00D223C5">
          <w:rPr>
            <w:noProof/>
            <w:webHidden/>
          </w:rPr>
          <w:instrText xml:space="preserve"> PAGEREF _Toc478116698 \h </w:instrText>
        </w:r>
        <w:r w:rsidR="00D223C5">
          <w:rPr>
            <w:noProof/>
            <w:webHidden/>
          </w:rPr>
        </w:r>
        <w:r w:rsidR="00D223C5">
          <w:rPr>
            <w:noProof/>
            <w:webHidden/>
          </w:rPr>
          <w:fldChar w:fldCharType="separate"/>
        </w:r>
        <w:r w:rsidR="00164DEA">
          <w:rPr>
            <w:noProof/>
            <w:webHidden/>
          </w:rPr>
          <w:t>30</w:t>
        </w:r>
        <w:r w:rsidR="00D223C5">
          <w:rPr>
            <w:noProof/>
            <w:webHidden/>
          </w:rPr>
          <w:fldChar w:fldCharType="end"/>
        </w:r>
      </w:hyperlink>
    </w:p>
    <w:p w14:paraId="52EAA947"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699" w:history="1">
        <w:r w:rsidR="00D223C5" w:rsidRPr="00CB680E">
          <w:rPr>
            <w:rStyle w:val="Hyperlink"/>
            <w:noProof/>
          </w:rPr>
          <w:t>4.1</w:t>
        </w:r>
        <w:r w:rsidR="00D223C5">
          <w:rPr>
            <w:rFonts w:asciiTheme="minorHAnsi" w:hAnsiTheme="minorHAnsi"/>
            <w:smallCaps w:val="0"/>
            <w:noProof/>
            <w:color w:val="auto"/>
          </w:rPr>
          <w:tab/>
        </w:r>
        <w:r w:rsidR="00D223C5" w:rsidRPr="00CB680E">
          <w:rPr>
            <w:rStyle w:val="Hyperlink"/>
            <w:noProof/>
          </w:rPr>
          <w:t>European Investment Bank (EIB)</w:t>
        </w:r>
        <w:r w:rsidR="00D223C5">
          <w:rPr>
            <w:noProof/>
            <w:webHidden/>
          </w:rPr>
          <w:tab/>
        </w:r>
        <w:r w:rsidR="00D223C5">
          <w:rPr>
            <w:noProof/>
            <w:webHidden/>
          </w:rPr>
          <w:fldChar w:fldCharType="begin"/>
        </w:r>
        <w:r w:rsidR="00D223C5">
          <w:rPr>
            <w:noProof/>
            <w:webHidden/>
          </w:rPr>
          <w:instrText xml:space="preserve"> PAGEREF _Toc478116699 \h </w:instrText>
        </w:r>
        <w:r w:rsidR="00D223C5">
          <w:rPr>
            <w:noProof/>
            <w:webHidden/>
          </w:rPr>
        </w:r>
        <w:r w:rsidR="00D223C5">
          <w:rPr>
            <w:noProof/>
            <w:webHidden/>
          </w:rPr>
          <w:fldChar w:fldCharType="separate"/>
        </w:r>
        <w:r w:rsidR="00164DEA">
          <w:rPr>
            <w:noProof/>
            <w:webHidden/>
          </w:rPr>
          <w:t>30</w:t>
        </w:r>
        <w:r w:rsidR="00D223C5">
          <w:rPr>
            <w:noProof/>
            <w:webHidden/>
          </w:rPr>
          <w:fldChar w:fldCharType="end"/>
        </w:r>
      </w:hyperlink>
    </w:p>
    <w:p w14:paraId="0F6CED0D"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700" w:history="1">
        <w:r w:rsidR="00D223C5" w:rsidRPr="00CB680E">
          <w:rPr>
            <w:rStyle w:val="Hyperlink"/>
            <w:noProof/>
          </w:rPr>
          <w:t>4.2</w:t>
        </w:r>
        <w:r w:rsidR="00D223C5">
          <w:rPr>
            <w:rFonts w:asciiTheme="minorHAnsi" w:hAnsiTheme="minorHAnsi"/>
            <w:smallCaps w:val="0"/>
            <w:noProof/>
            <w:color w:val="auto"/>
          </w:rPr>
          <w:tab/>
        </w:r>
        <w:r w:rsidR="00D223C5" w:rsidRPr="00CB680E">
          <w:rPr>
            <w:rStyle w:val="Hyperlink"/>
            <w:noProof/>
          </w:rPr>
          <w:t>Irish Strategic Investment Fund (ISIF)</w:t>
        </w:r>
        <w:r w:rsidR="00D223C5">
          <w:rPr>
            <w:noProof/>
            <w:webHidden/>
          </w:rPr>
          <w:tab/>
        </w:r>
        <w:r w:rsidR="00D223C5">
          <w:rPr>
            <w:noProof/>
            <w:webHidden/>
          </w:rPr>
          <w:fldChar w:fldCharType="begin"/>
        </w:r>
        <w:r w:rsidR="00D223C5">
          <w:rPr>
            <w:noProof/>
            <w:webHidden/>
          </w:rPr>
          <w:instrText xml:space="preserve"> PAGEREF _Toc478116700 \h </w:instrText>
        </w:r>
        <w:r w:rsidR="00D223C5">
          <w:rPr>
            <w:noProof/>
            <w:webHidden/>
          </w:rPr>
        </w:r>
        <w:r w:rsidR="00D223C5">
          <w:rPr>
            <w:noProof/>
            <w:webHidden/>
          </w:rPr>
          <w:fldChar w:fldCharType="separate"/>
        </w:r>
        <w:r w:rsidR="00164DEA">
          <w:rPr>
            <w:noProof/>
            <w:webHidden/>
          </w:rPr>
          <w:t>31</w:t>
        </w:r>
        <w:r w:rsidR="00D223C5">
          <w:rPr>
            <w:noProof/>
            <w:webHidden/>
          </w:rPr>
          <w:fldChar w:fldCharType="end"/>
        </w:r>
      </w:hyperlink>
    </w:p>
    <w:p w14:paraId="60CEC08C"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701" w:history="1">
        <w:r w:rsidR="00D223C5" w:rsidRPr="00CB680E">
          <w:rPr>
            <w:rStyle w:val="Hyperlink"/>
            <w:noProof/>
          </w:rPr>
          <w:t>4.3</w:t>
        </w:r>
        <w:r w:rsidR="00D223C5">
          <w:rPr>
            <w:rFonts w:asciiTheme="minorHAnsi" w:hAnsiTheme="minorHAnsi"/>
            <w:smallCaps w:val="0"/>
            <w:noProof/>
            <w:color w:val="auto"/>
          </w:rPr>
          <w:tab/>
        </w:r>
        <w:r w:rsidR="00D223C5" w:rsidRPr="00CB680E">
          <w:rPr>
            <w:rStyle w:val="Hyperlink"/>
            <w:noProof/>
          </w:rPr>
          <w:t>Capital Receipts</w:t>
        </w:r>
        <w:r w:rsidR="00D223C5">
          <w:rPr>
            <w:noProof/>
            <w:webHidden/>
          </w:rPr>
          <w:tab/>
        </w:r>
        <w:r w:rsidR="00D223C5">
          <w:rPr>
            <w:noProof/>
            <w:webHidden/>
          </w:rPr>
          <w:fldChar w:fldCharType="begin"/>
        </w:r>
        <w:r w:rsidR="00D223C5">
          <w:rPr>
            <w:noProof/>
            <w:webHidden/>
          </w:rPr>
          <w:instrText xml:space="preserve"> PAGEREF _Toc478116701 \h </w:instrText>
        </w:r>
        <w:r w:rsidR="00D223C5">
          <w:rPr>
            <w:noProof/>
            <w:webHidden/>
          </w:rPr>
        </w:r>
        <w:r w:rsidR="00D223C5">
          <w:rPr>
            <w:noProof/>
            <w:webHidden/>
          </w:rPr>
          <w:fldChar w:fldCharType="separate"/>
        </w:r>
        <w:r w:rsidR="00164DEA">
          <w:rPr>
            <w:noProof/>
            <w:webHidden/>
          </w:rPr>
          <w:t>32</w:t>
        </w:r>
        <w:r w:rsidR="00D223C5">
          <w:rPr>
            <w:noProof/>
            <w:webHidden/>
          </w:rPr>
          <w:fldChar w:fldCharType="end"/>
        </w:r>
      </w:hyperlink>
    </w:p>
    <w:p w14:paraId="76BD96DE"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702" w:history="1">
        <w:r w:rsidR="00D223C5" w:rsidRPr="00CB680E">
          <w:rPr>
            <w:rStyle w:val="Hyperlink"/>
            <w:noProof/>
          </w:rPr>
          <w:t>4.4</w:t>
        </w:r>
        <w:r w:rsidR="00D223C5">
          <w:rPr>
            <w:rFonts w:asciiTheme="minorHAnsi" w:hAnsiTheme="minorHAnsi"/>
            <w:smallCaps w:val="0"/>
            <w:noProof/>
            <w:color w:val="auto"/>
          </w:rPr>
          <w:tab/>
        </w:r>
        <w:r w:rsidR="00D223C5" w:rsidRPr="00CB680E">
          <w:rPr>
            <w:rStyle w:val="Hyperlink"/>
            <w:noProof/>
          </w:rPr>
          <w:t>Public Private Partnerships</w:t>
        </w:r>
        <w:r w:rsidR="00D223C5">
          <w:rPr>
            <w:noProof/>
            <w:webHidden/>
          </w:rPr>
          <w:tab/>
        </w:r>
        <w:r w:rsidR="00D223C5">
          <w:rPr>
            <w:noProof/>
            <w:webHidden/>
          </w:rPr>
          <w:fldChar w:fldCharType="begin"/>
        </w:r>
        <w:r w:rsidR="00D223C5">
          <w:rPr>
            <w:noProof/>
            <w:webHidden/>
          </w:rPr>
          <w:instrText xml:space="preserve"> PAGEREF _Toc478116702 \h </w:instrText>
        </w:r>
        <w:r w:rsidR="00D223C5">
          <w:rPr>
            <w:noProof/>
            <w:webHidden/>
          </w:rPr>
        </w:r>
        <w:r w:rsidR="00D223C5">
          <w:rPr>
            <w:noProof/>
            <w:webHidden/>
          </w:rPr>
          <w:fldChar w:fldCharType="separate"/>
        </w:r>
        <w:r w:rsidR="00164DEA">
          <w:rPr>
            <w:noProof/>
            <w:webHidden/>
          </w:rPr>
          <w:t>33</w:t>
        </w:r>
        <w:r w:rsidR="00D223C5">
          <w:rPr>
            <w:noProof/>
            <w:webHidden/>
          </w:rPr>
          <w:fldChar w:fldCharType="end"/>
        </w:r>
      </w:hyperlink>
    </w:p>
    <w:p w14:paraId="6251C4F2"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703" w:history="1">
        <w:r w:rsidR="00D223C5" w:rsidRPr="00CB680E">
          <w:rPr>
            <w:rStyle w:val="Hyperlink"/>
            <w:noProof/>
          </w:rPr>
          <w:t>4.5</w:t>
        </w:r>
        <w:r w:rsidR="00D223C5">
          <w:rPr>
            <w:rFonts w:asciiTheme="minorHAnsi" w:hAnsiTheme="minorHAnsi"/>
            <w:smallCaps w:val="0"/>
            <w:noProof/>
            <w:color w:val="auto"/>
          </w:rPr>
          <w:tab/>
        </w:r>
        <w:r w:rsidR="00D223C5" w:rsidRPr="00CB680E">
          <w:rPr>
            <w:rStyle w:val="Hyperlink"/>
            <w:noProof/>
          </w:rPr>
          <w:t>Investment Priorities for the Medium-Term</w:t>
        </w:r>
        <w:r w:rsidR="00D223C5">
          <w:rPr>
            <w:noProof/>
            <w:webHidden/>
          </w:rPr>
          <w:tab/>
        </w:r>
        <w:r w:rsidR="00D223C5">
          <w:rPr>
            <w:noProof/>
            <w:webHidden/>
          </w:rPr>
          <w:fldChar w:fldCharType="begin"/>
        </w:r>
        <w:r w:rsidR="00D223C5">
          <w:rPr>
            <w:noProof/>
            <w:webHidden/>
          </w:rPr>
          <w:instrText xml:space="preserve"> PAGEREF _Toc478116703 \h </w:instrText>
        </w:r>
        <w:r w:rsidR="00D223C5">
          <w:rPr>
            <w:noProof/>
            <w:webHidden/>
          </w:rPr>
        </w:r>
        <w:r w:rsidR="00D223C5">
          <w:rPr>
            <w:noProof/>
            <w:webHidden/>
          </w:rPr>
          <w:fldChar w:fldCharType="separate"/>
        </w:r>
        <w:r w:rsidR="00164DEA">
          <w:rPr>
            <w:noProof/>
            <w:webHidden/>
          </w:rPr>
          <w:t>33</w:t>
        </w:r>
        <w:r w:rsidR="00D223C5">
          <w:rPr>
            <w:noProof/>
            <w:webHidden/>
          </w:rPr>
          <w:fldChar w:fldCharType="end"/>
        </w:r>
      </w:hyperlink>
    </w:p>
    <w:p w14:paraId="75FD7351" w14:textId="77777777" w:rsidR="00D223C5" w:rsidRDefault="00DB2739">
      <w:pPr>
        <w:pStyle w:val="TOC2"/>
        <w:tabs>
          <w:tab w:val="left" w:pos="880"/>
          <w:tab w:val="right" w:leader="dot" w:pos="7359"/>
        </w:tabs>
        <w:rPr>
          <w:rFonts w:asciiTheme="minorHAnsi" w:hAnsiTheme="minorHAnsi"/>
          <w:smallCaps w:val="0"/>
          <w:noProof/>
          <w:color w:val="auto"/>
        </w:rPr>
      </w:pPr>
      <w:hyperlink w:anchor="_Toc478116704" w:history="1">
        <w:r w:rsidR="00D223C5" w:rsidRPr="00CB680E">
          <w:rPr>
            <w:rStyle w:val="Hyperlink"/>
            <w:noProof/>
          </w:rPr>
          <w:t>4.6</w:t>
        </w:r>
        <w:r w:rsidR="00D223C5">
          <w:rPr>
            <w:rFonts w:asciiTheme="minorHAnsi" w:hAnsiTheme="minorHAnsi"/>
            <w:smallCaps w:val="0"/>
            <w:noProof/>
            <w:color w:val="auto"/>
          </w:rPr>
          <w:tab/>
        </w:r>
        <w:r w:rsidR="00D223C5" w:rsidRPr="00CB680E">
          <w:rPr>
            <w:rStyle w:val="Hyperlink"/>
            <w:noProof/>
          </w:rPr>
          <w:t>Recommendations</w:t>
        </w:r>
        <w:r w:rsidR="00D223C5">
          <w:rPr>
            <w:noProof/>
            <w:webHidden/>
          </w:rPr>
          <w:tab/>
        </w:r>
        <w:r w:rsidR="00D223C5">
          <w:rPr>
            <w:noProof/>
            <w:webHidden/>
          </w:rPr>
          <w:fldChar w:fldCharType="begin"/>
        </w:r>
        <w:r w:rsidR="00D223C5">
          <w:rPr>
            <w:noProof/>
            <w:webHidden/>
          </w:rPr>
          <w:instrText xml:space="preserve"> PAGEREF _Toc478116704 \h </w:instrText>
        </w:r>
        <w:r w:rsidR="00D223C5">
          <w:rPr>
            <w:noProof/>
            <w:webHidden/>
          </w:rPr>
        </w:r>
        <w:r w:rsidR="00D223C5">
          <w:rPr>
            <w:noProof/>
            <w:webHidden/>
          </w:rPr>
          <w:fldChar w:fldCharType="separate"/>
        </w:r>
        <w:r w:rsidR="00164DEA">
          <w:rPr>
            <w:noProof/>
            <w:webHidden/>
          </w:rPr>
          <w:t>33</w:t>
        </w:r>
        <w:r w:rsidR="00D223C5">
          <w:rPr>
            <w:noProof/>
            <w:webHidden/>
          </w:rPr>
          <w:fldChar w:fldCharType="end"/>
        </w:r>
      </w:hyperlink>
    </w:p>
    <w:p w14:paraId="173DF0DA" w14:textId="77777777" w:rsidR="00D223C5" w:rsidRDefault="00DB2739">
      <w:pPr>
        <w:pStyle w:val="TOC1"/>
        <w:tabs>
          <w:tab w:val="left" w:pos="440"/>
          <w:tab w:val="right" w:leader="dot" w:pos="7359"/>
        </w:tabs>
        <w:rPr>
          <w:rFonts w:asciiTheme="minorHAnsi" w:hAnsiTheme="minorHAnsi"/>
          <w:caps w:val="0"/>
          <w:noProof/>
          <w:color w:val="auto"/>
        </w:rPr>
      </w:pPr>
      <w:hyperlink w:anchor="_Toc478116705" w:history="1">
        <w:r w:rsidR="00D223C5" w:rsidRPr="00CB680E">
          <w:rPr>
            <w:rStyle w:val="Hyperlink"/>
            <w:noProof/>
          </w:rPr>
          <w:t>5.</w:t>
        </w:r>
        <w:r w:rsidR="00D223C5">
          <w:rPr>
            <w:rFonts w:asciiTheme="minorHAnsi" w:hAnsiTheme="minorHAnsi"/>
            <w:caps w:val="0"/>
            <w:noProof/>
            <w:color w:val="auto"/>
          </w:rPr>
          <w:tab/>
        </w:r>
        <w:r w:rsidR="00D223C5" w:rsidRPr="00CB680E">
          <w:rPr>
            <w:rStyle w:val="Hyperlink"/>
            <w:noProof/>
          </w:rPr>
          <w:t>Appendix 1: Capital Plan Allocations for 2016-2021</w:t>
        </w:r>
        <w:r w:rsidR="00D223C5">
          <w:rPr>
            <w:noProof/>
            <w:webHidden/>
          </w:rPr>
          <w:tab/>
        </w:r>
        <w:r w:rsidR="00D223C5">
          <w:rPr>
            <w:noProof/>
            <w:webHidden/>
          </w:rPr>
          <w:fldChar w:fldCharType="begin"/>
        </w:r>
        <w:r w:rsidR="00D223C5">
          <w:rPr>
            <w:noProof/>
            <w:webHidden/>
          </w:rPr>
          <w:instrText xml:space="preserve"> PAGEREF _Toc478116705 \h </w:instrText>
        </w:r>
        <w:r w:rsidR="00D223C5">
          <w:rPr>
            <w:noProof/>
            <w:webHidden/>
          </w:rPr>
        </w:r>
        <w:r w:rsidR="00D223C5">
          <w:rPr>
            <w:noProof/>
            <w:webHidden/>
          </w:rPr>
          <w:fldChar w:fldCharType="separate"/>
        </w:r>
        <w:r w:rsidR="00164DEA">
          <w:rPr>
            <w:noProof/>
            <w:webHidden/>
          </w:rPr>
          <w:t>35</w:t>
        </w:r>
        <w:r w:rsidR="00D223C5">
          <w:rPr>
            <w:noProof/>
            <w:webHidden/>
          </w:rPr>
          <w:fldChar w:fldCharType="end"/>
        </w:r>
      </w:hyperlink>
    </w:p>
    <w:p w14:paraId="3E4D8994" w14:textId="77777777" w:rsidR="00D223C5" w:rsidRDefault="00DB2739">
      <w:pPr>
        <w:pStyle w:val="TOC1"/>
        <w:tabs>
          <w:tab w:val="left" w:pos="440"/>
          <w:tab w:val="right" w:leader="dot" w:pos="7359"/>
        </w:tabs>
        <w:rPr>
          <w:rFonts w:asciiTheme="minorHAnsi" w:hAnsiTheme="minorHAnsi"/>
          <w:caps w:val="0"/>
          <w:noProof/>
          <w:color w:val="auto"/>
        </w:rPr>
      </w:pPr>
      <w:hyperlink w:anchor="_Toc478116706" w:history="1">
        <w:r w:rsidR="00D223C5" w:rsidRPr="00CB680E">
          <w:rPr>
            <w:rStyle w:val="Hyperlink"/>
            <w:noProof/>
          </w:rPr>
          <w:t>6.</w:t>
        </w:r>
        <w:r w:rsidR="00D223C5">
          <w:rPr>
            <w:rFonts w:asciiTheme="minorHAnsi" w:hAnsiTheme="minorHAnsi"/>
            <w:caps w:val="0"/>
            <w:noProof/>
            <w:color w:val="auto"/>
          </w:rPr>
          <w:tab/>
        </w:r>
        <w:r w:rsidR="00D223C5" w:rsidRPr="00CB680E">
          <w:rPr>
            <w:rStyle w:val="Hyperlink"/>
            <w:noProof/>
          </w:rPr>
          <w:t>Appendix 2: Current Investment Priorities for Health Sector</w:t>
        </w:r>
        <w:r w:rsidR="00D223C5">
          <w:rPr>
            <w:noProof/>
            <w:webHidden/>
          </w:rPr>
          <w:tab/>
        </w:r>
        <w:r w:rsidR="00D223C5">
          <w:rPr>
            <w:noProof/>
            <w:webHidden/>
          </w:rPr>
          <w:fldChar w:fldCharType="begin"/>
        </w:r>
        <w:r w:rsidR="00D223C5">
          <w:rPr>
            <w:noProof/>
            <w:webHidden/>
          </w:rPr>
          <w:instrText xml:space="preserve"> PAGEREF _Toc478116706 \h </w:instrText>
        </w:r>
        <w:r w:rsidR="00D223C5">
          <w:rPr>
            <w:noProof/>
            <w:webHidden/>
          </w:rPr>
        </w:r>
        <w:r w:rsidR="00D223C5">
          <w:rPr>
            <w:noProof/>
            <w:webHidden/>
          </w:rPr>
          <w:fldChar w:fldCharType="separate"/>
        </w:r>
        <w:r w:rsidR="00164DEA">
          <w:rPr>
            <w:noProof/>
            <w:webHidden/>
          </w:rPr>
          <w:t>1</w:t>
        </w:r>
        <w:r w:rsidR="00D223C5">
          <w:rPr>
            <w:noProof/>
            <w:webHidden/>
          </w:rPr>
          <w:fldChar w:fldCharType="end"/>
        </w:r>
      </w:hyperlink>
    </w:p>
    <w:p w14:paraId="3FA3B6F3" w14:textId="77777777" w:rsidR="00D223C5" w:rsidRDefault="00DB2739">
      <w:pPr>
        <w:pStyle w:val="TOC1"/>
        <w:tabs>
          <w:tab w:val="left" w:pos="440"/>
          <w:tab w:val="right" w:leader="dot" w:pos="7359"/>
        </w:tabs>
        <w:rPr>
          <w:rFonts w:asciiTheme="minorHAnsi" w:hAnsiTheme="minorHAnsi"/>
          <w:caps w:val="0"/>
          <w:noProof/>
          <w:color w:val="auto"/>
        </w:rPr>
      </w:pPr>
      <w:hyperlink w:anchor="_Toc478116707" w:history="1">
        <w:r w:rsidR="00D223C5" w:rsidRPr="00CB680E">
          <w:rPr>
            <w:rStyle w:val="Hyperlink"/>
            <w:noProof/>
          </w:rPr>
          <w:t>7.</w:t>
        </w:r>
        <w:r w:rsidR="00D223C5">
          <w:rPr>
            <w:rFonts w:asciiTheme="minorHAnsi" w:hAnsiTheme="minorHAnsi"/>
            <w:caps w:val="0"/>
            <w:noProof/>
            <w:color w:val="auto"/>
          </w:rPr>
          <w:tab/>
        </w:r>
        <w:r w:rsidR="00D223C5" w:rsidRPr="00CB680E">
          <w:rPr>
            <w:rStyle w:val="Hyperlink"/>
            <w:noProof/>
          </w:rPr>
          <w:t>Appendix 3: Pipeline of Transport Projects</w:t>
        </w:r>
        <w:r w:rsidR="00D223C5">
          <w:rPr>
            <w:noProof/>
            <w:webHidden/>
          </w:rPr>
          <w:tab/>
        </w:r>
        <w:r w:rsidR="00D223C5">
          <w:rPr>
            <w:noProof/>
            <w:webHidden/>
          </w:rPr>
          <w:fldChar w:fldCharType="begin"/>
        </w:r>
        <w:r w:rsidR="00D223C5">
          <w:rPr>
            <w:noProof/>
            <w:webHidden/>
          </w:rPr>
          <w:instrText xml:space="preserve"> PAGEREF _Toc478116707 \h </w:instrText>
        </w:r>
        <w:r w:rsidR="00D223C5">
          <w:rPr>
            <w:noProof/>
            <w:webHidden/>
          </w:rPr>
        </w:r>
        <w:r w:rsidR="00D223C5">
          <w:rPr>
            <w:noProof/>
            <w:webHidden/>
          </w:rPr>
          <w:fldChar w:fldCharType="separate"/>
        </w:r>
        <w:r w:rsidR="00164DEA">
          <w:rPr>
            <w:noProof/>
            <w:webHidden/>
          </w:rPr>
          <w:t>2</w:t>
        </w:r>
        <w:r w:rsidR="00D223C5">
          <w:rPr>
            <w:noProof/>
            <w:webHidden/>
          </w:rPr>
          <w:fldChar w:fldCharType="end"/>
        </w:r>
      </w:hyperlink>
    </w:p>
    <w:p w14:paraId="06AE6D5C" w14:textId="77777777" w:rsidR="00D223C5" w:rsidRDefault="00DB2739">
      <w:pPr>
        <w:pStyle w:val="TOC1"/>
        <w:tabs>
          <w:tab w:val="left" w:pos="440"/>
          <w:tab w:val="right" w:leader="dot" w:pos="7359"/>
        </w:tabs>
        <w:rPr>
          <w:rFonts w:asciiTheme="minorHAnsi" w:hAnsiTheme="minorHAnsi"/>
          <w:caps w:val="0"/>
          <w:noProof/>
          <w:color w:val="auto"/>
        </w:rPr>
      </w:pPr>
      <w:hyperlink w:anchor="_Toc478116708" w:history="1">
        <w:r w:rsidR="00D223C5" w:rsidRPr="00CB680E">
          <w:rPr>
            <w:rStyle w:val="Hyperlink"/>
            <w:noProof/>
          </w:rPr>
          <w:t>8.</w:t>
        </w:r>
        <w:r w:rsidR="00D223C5">
          <w:rPr>
            <w:rFonts w:asciiTheme="minorHAnsi" w:hAnsiTheme="minorHAnsi"/>
            <w:caps w:val="0"/>
            <w:noProof/>
            <w:color w:val="auto"/>
          </w:rPr>
          <w:tab/>
        </w:r>
        <w:r w:rsidR="00D223C5" w:rsidRPr="00CB680E">
          <w:rPr>
            <w:rStyle w:val="Hyperlink"/>
            <w:noProof/>
          </w:rPr>
          <w:t>Appendix 4: Fiscal Space Calculation</w:t>
        </w:r>
        <w:r w:rsidR="00D223C5">
          <w:rPr>
            <w:noProof/>
            <w:webHidden/>
          </w:rPr>
          <w:tab/>
        </w:r>
        <w:r w:rsidR="00D223C5">
          <w:rPr>
            <w:noProof/>
            <w:webHidden/>
          </w:rPr>
          <w:fldChar w:fldCharType="begin"/>
        </w:r>
        <w:r w:rsidR="00D223C5">
          <w:rPr>
            <w:noProof/>
            <w:webHidden/>
          </w:rPr>
          <w:instrText xml:space="preserve"> PAGEREF _Toc478116708 \h </w:instrText>
        </w:r>
        <w:r w:rsidR="00D223C5">
          <w:rPr>
            <w:noProof/>
            <w:webHidden/>
          </w:rPr>
        </w:r>
        <w:r w:rsidR="00D223C5">
          <w:rPr>
            <w:noProof/>
            <w:webHidden/>
          </w:rPr>
          <w:fldChar w:fldCharType="separate"/>
        </w:r>
        <w:r w:rsidR="00164DEA">
          <w:rPr>
            <w:noProof/>
            <w:webHidden/>
          </w:rPr>
          <w:t>3</w:t>
        </w:r>
        <w:r w:rsidR="00D223C5">
          <w:rPr>
            <w:noProof/>
            <w:webHidden/>
          </w:rPr>
          <w:fldChar w:fldCharType="end"/>
        </w:r>
      </w:hyperlink>
    </w:p>
    <w:p w14:paraId="520FEDB2" w14:textId="23C5046B" w:rsidR="00B01666" w:rsidRPr="007B3AB8" w:rsidRDefault="004947CE" w:rsidP="0063437E">
      <w:pPr>
        <w:pStyle w:val="TableofFigures"/>
        <w:tabs>
          <w:tab w:val="right" w:leader="dot" w:pos="7359"/>
        </w:tabs>
        <w:spacing w:line="276" w:lineRule="auto"/>
        <w:rPr>
          <w:b w:val="0"/>
          <w:smallCaps w:val="0"/>
        </w:rPr>
      </w:pPr>
      <w:r w:rsidRPr="007B3AB8">
        <w:fldChar w:fldCharType="end"/>
      </w:r>
      <w:r w:rsidR="00B01666" w:rsidRPr="007B3AB8">
        <w:br w:type="page"/>
      </w:r>
    </w:p>
    <w:p w14:paraId="481EA306" w14:textId="77777777" w:rsidR="00B01666" w:rsidRPr="00432142" w:rsidRDefault="004D64B4" w:rsidP="008A0E3C">
      <w:pPr>
        <w:pStyle w:val="TableofFigures"/>
        <w:tabs>
          <w:tab w:val="right" w:leader="dot" w:pos="7359"/>
        </w:tabs>
        <w:spacing w:line="276" w:lineRule="auto"/>
        <w:jc w:val="center"/>
        <w:rPr>
          <w:color w:val="98002E"/>
          <w:sz w:val="28"/>
          <w:szCs w:val="28"/>
        </w:rPr>
      </w:pPr>
      <w:r w:rsidRPr="00432142">
        <w:rPr>
          <w:color w:val="98002E"/>
          <w:sz w:val="28"/>
          <w:szCs w:val="28"/>
        </w:rPr>
        <w:lastRenderedPageBreak/>
        <w:t>List</w:t>
      </w:r>
      <w:r w:rsidR="00B01666" w:rsidRPr="00432142">
        <w:rPr>
          <w:color w:val="98002E"/>
          <w:sz w:val="28"/>
          <w:szCs w:val="28"/>
        </w:rPr>
        <w:t xml:space="preserve"> of Figures</w:t>
      </w:r>
    </w:p>
    <w:p w14:paraId="23F7FD16" w14:textId="77777777" w:rsidR="00D223C5" w:rsidRDefault="004947CE">
      <w:pPr>
        <w:pStyle w:val="TableofFigures"/>
        <w:tabs>
          <w:tab w:val="right" w:leader="dot" w:pos="7359"/>
        </w:tabs>
        <w:rPr>
          <w:b w:val="0"/>
          <w:smallCaps w:val="0"/>
          <w:noProof/>
          <w:color w:val="auto"/>
        </w:rPr>
      </w:pPr>
      <w:r w:rsidRPr="007B3AB8">
        <w:rPr>
          <w:b w:val="0"/>
        </w:rPr>
        <w:fldChar w:fldCharType="begin"/>
      </w:r>
      <w:r w:rsidR="00B01666" w:rsidRPr="007B3AB8">
        <w:rPr>
          <w:b w:val="0"/>
        </w:rPr>
        <w:instrText xml:space="preserve"> TOC \h \z \t "DKM Figure" \c </w:instrText>
      </w:r>
      <w:r w:rsidRPr="007B3AB8">
        <w:rPr>
          <w:b w:val="0"/>
        </w:rPr>
        <w:fldChar w:fldCharType="separate"/>
      </w:r>
      <w:hyperlink w:anchor="_Toc478116709" w:history="1">
        <w:r w:rsidR="00D223C5" w:rsidRPr="00AC432D">
          <w:rPr>
            <w:rStyle w:val="Hyperlink"/>
            <w:rFonts w:ascii="Calibri" w:hAnsi="Calibri"/>
            <w:bCs/>
            <w:noProof/>
          </w:rPr>
          <w:t>Figure 1.1:</w:t>
        </w:r>
        <w:r w:rsidR="00D223C5" w:rsidRPr="00AC432D">
          <w:rPr>
            <w:rStyle w:val="Hyperlink"/>
            <w:noProof/>
          </w:rPr>
          <w:t xml:space="preserve"> Value of Building and Construction Output (Current Prices, €bn)</w:t>
        </w:r>
        <w:r w:rsidR="00D223C5">
          <w:rPr>
            <w:noProof/>
            <w:webHidden/>
          </w:rPr>
          <w:tab/>
        </w:r>
        <w:r w:rsidR="00D223C5">
          <w:rPr>
            <w:noProof/>
            <w:webHidden/>
          </w:rPr>
          <w:fldChar w:fldCharType="begin"/>
        </w:r>
        <w:r w:rsidR="00D223C5">
          <w:rPr>
            <w:noProof/>
            <w:webHidden/>
          </w:rPr>
          <w:instrText xml:space="preserve"> PAGEREF _Toc478116709 \h </w:instrText>
        </w:r>
        <w:r w:rsidR="00D223C5">
          <w:rPr>
            <w:noProof/>
            <w:webHidden/>
          </w:rPr>
        </w:r>
        <w:r w:rsidR="00D223C5">
          <w:rPr>
            <w:noProof/>
            <w:webHidden/>
          </w:rPr>
          <w:fldChar w:fldCharType="separate"/>
        </w:r>
        <w:r w:rsidR="00164DEA">
          <w:rPr>
            <w:noProof/>
            <w:webHidden/>
          </w:rPr>
          <w:t>3</w:t>
        </w:r>
        <w:r w:rsidR="00D223C5">
          <w:rPr>
            <w:noProof/>
            <w:webHidden/>
          </w:rPr>
          <w:fldChar w:fldCharType="end"/>
        </w:r>
      </w:hyperlink>
    </w:p>
    <w:p w14:paraId="7BB5090F" w14:textId="77777777" w:rsidR="00D223C5" w:rsidRDefault="00DB2739">
      <w:pPr>
        <w:pStyle w:val="TableofFigures"/>
        <w:tabs>
          <w:tab w:val="right" w:leader="dot" w:pos="7359"/>
        </w:tabs>
        <w:rPr>
          <w:b w:val="0"/>
          <w:smallCaps w:val="0"/>
          <w:noProof/>
          <w:color w:val="auto"/>
        </w:rPr>
      </w:pPr>
      <w:hyperlink w:anchor="_Toc478116710" w:history="1">
        <w:r w:rsidR="00D223C5" w:rsidRPr="00AC432D">
          <w:rPr>
            <w:rStyle w:val="Hyperlink"/>
            <w:rFonts w:ascii="Calibri" w:hAnsi="Calibri"/>
            <w:noProof/>
          </w:rPr>
          <w:t>Figure 1.2:</w:t>
        </w:r>
        <w:r w:rsidR="00D223C5" w:rsidRPr="00AC432D">
          <w:rPr>
            <w:rStyle w:val="Hyperlink"/>
            <w:noProof/>
          </w:rPr>
          <w:t xml:space="preserve"> Construction Tender Price Inflation 1998-2017F</w:t>
        </w:r>
        <w:r w:rsidR="00D223C5">
          <w:rPr>
            <w:noProof/>
            <w:webHidden/>
          </w:rPr>
          <w:tab/>
        </w:r>
        <w:r w:rsidR="00D223C5">
          <w:rPr>
            <w:noProof/>
            <w:webHidden/>
          </w:rPr>
          <w:fldChar w:fldCharType="begin"/>
        </w:r>
        <w:r w:rsidR="00D223C5">
          <w:rPr>
            <w:noProof/>
            <w:webHidden/>
          </w:rPr>
          <w:instrText xml:space="preserve"> PAGEREF _Toc478116710 \h </w:instrText>
        </w:r>
        <w:r w:rsidR="00D223C5">
          <w:rPr>
            <w:noProof/>
            <w:webHidden/>
          </w:rPr>
        </w:r>
        <w:r w:rsidR="00D223C5">
          <w:rPr>
            <w:noProof/>
            <w:webHidden/>
          </w:rPr>
          <w:fldChar w:fldCharType="separate"/>
        </w:r>
        <w:r w:rsidR="00164DEA">
          <w:rPr>
            <w:noProof/>
            <w:webHidden/>
          </w:rPr>
          <w:t>6</w:t>
        </w:r>
        <w:r w:rsidR="00D223C5">
          <w:rPr>
            <w:noProof/>
            <w:webHidden/>
          </w:rPr>
          <w:fldChar w:fldCharType="end"/>
        </w:r>
      </w:hyperlink>
    </w:p>
    <w:p w14:paraId="6B297D02" w14:textId="77777777" w:rsidR="00D223C5" w:rsidRDefault="00DB2739">
      <w:pPr>
        <w:pStyle w:val="TableofFigures"/>
        <w:tabs>
          <w:tab w:val="right" w:leader="dot" w:pos="7359"/>
        </w:tabs>
        <w:rPr>
          <w:b w:val="0"/>
          <w:smallCaps w:val="0"/>
          <w:noProof/>
          <w:color w:val="auto"/>
        </w:rPr>
      </w:pPr>
      <w:hyperlink w:anchor="_Toc478116711" w:history="1">
        <w:r w:rsidR="00D223C5" w:rsidRPr="00AC432D">
          <w:rPr>
            <w:rStyle w:val="Hyperlink"/>
            <w:rFonts w:ascii="Calibri" w:hAnsi="Calibri"/>
            <w:noProof/>
          </w:rPr>
          <w:t>Figure 1.3:</w:t>
        </w:r>
        <w:r w:rsidR="00D223C5" w:rsidRPr="00AC432D">
          <w:rPr>
            <w:rStyle w:val="Hyperlink"/>
            <w:noProof/>
          </w:rPr>
          <w:t xml:space="preserve"> Building and Construction Inflation 2006-2016</w:t>
        </w:r>
        <w:r w:rsidR="00D223C5">
          <w:rPr>
            <w:noProof/>
            <w:webHidden/>
          </w:rPr>
          <w:tab/>
        </w:r>
        <w:r w:rsidR="00D223C5">
          <w:rPr>
            <w:noProof/>
            <w:webHidden/>
          </w:rPr>
          <w:fldChar w:fldCharType="begin"/>
        </w:r>
        <w:r w:rsidR="00D223C5">
          <w:rPr>
            <w:noProof/>
            <w:webHidden/>
          </w:rPr>
          <w:instrText xml:space="preserve"> PAGEREF _Toc478116711 \h </w:instrText>
        </w:r>
        <w:r w:rsidR="00D223C5">
          <w:rPr>
            <w:noProof/>
            <w:webHidden/>
          </w:rPr>
        </w:r>
        <w:r w:rsidR="00D223C5">
          <w:rPr>
            <w:noProof/>
            <w:webHidden/>
          </w:rPr>
          <w:fldChar w:fldCharType="separate"/>
        </w:r>
        <w:r w:rsidR="00164DEA">
          <w:rPr>
            <w:noProof/>
            <w:webHidden/>
          </w:rPr>
          <w:t>6</w:t>
        </w:r>
        <w:r w:rsidR="00D223C5">
          <w:rPr>
            <w:noProof/>
            <w:webHidden/>
          </w:rPr>
          <w:fldChar w:fldCharType="end"/>
        </w:r>
      </w:hyperlink>
    </w:p>
    <w:p w14:paraId="31AD999B" w14:textId="77777777" w:rsidR="00D223C5" w:rsidRDefault="00DB2739">
      <w:pPr>
        <w:pStyle w:val="TableofFigures"/>
        <w:tabs>
          <w:tab w:val="right" w:leader="dot" w:pos="7359"/>
        </w:tabs>
        <w:rPr>
          <w:b w:val="0"/>
          <w:smallCaps w:val="0"/>
          <w:noProof/>
          <w:color w:val="auto"/>
        </w:rPr>
      </w:pPr>
      <w:hyperlink w:anchor="_Toc478116712" w:history="1">
        <w:r w:rsidR="00D223C5" w:rsidRPr="00AC432D">
          <w:rPr>
            <w:rStyle w:val="Hyperlink"/>
            <w:rFonts w:ascii="Calibri" w:hAnsi="Calibri"/>
            <w:noProof/>
          </w:rPr>
          <w:t>Figure 2.1:</w:t>
        </w:r>
        <w:r w:rsidR="00D223C5" w:rsidRPr="00AC432D">
          <w:rPr>
            <w:rStyle w:val="Hyperlink"/>
            <w:noProof/>
          </w:rPr>
          <w:t xml:space="preserve"> Projected Change in Population to 2046</w:t>
        </w:r>
        <w:r w:rsidR="00D223C5">
          <w:rPr>
            <w:noProof/>
            <w:webHidden/>
          </w:rPr>
          <w:tab/>
        </w:r>
        <w:r w:rsidR="00D223C5">
          <w:rPr>
            <w:noProof/>
            <w:webHidden/>
          </w:rPr>
          <w:fldChar w:fldCharType="begin"/>
        </w:r>
        <w:r w:rsidR="00D223C5">
          <w:rPr>
            <w:noProof/>
            <w:webHidden/>
          </w:rPr>
          <w:instrText xml:space="preserve"> PAGEREF _Toc478116712 \h </w:instrText>
        </w:r>
        <w:r w:rsidR="00D223C5">
          <w:rPr>
            <w:noProof/>
            <w:webHidden/>
          </w:rPr>
        </w:r>
        <w:r w:rsidR="00D223C5">
          <w:rPr>
            <w:noProof/>
            <w:webHidden/>
          </w:rPr>
          <w:fldChar w:fldCharType="separate"/>
        </w:r>
        <w:r w:rsidR="00164DEA">
          <w:rPr>
            <w:noProof/>
            <w:webHidden/>
          </w:rPr>
          <w:t>14</w:t>
        </w:r>
        <w:r w:rsidR="00D223C5">
          <w:rPr>
            <w:noProof/>
            <w:webHidden/>
          </w:rPr>
          <w:fldChar w:fldCharType="end"/>
        </w:r>
      </w:hyperlink>
    </w:p>
    <w:p w14:paraId="6BEAAE17" w14:textId="77777777" w:rsidR="00D223C5" w:rsidRDefault="00DB2739">
      <w:pPr>
        <w:pStyle w:val="TableofFigures"/>
        <w:tabs>
          <w:tab w:val="right" w:leader="dot" w:pos="7359"/>
        </w:tabs>
        <w:rPr>
          <w:b w:val="0"/>
          <w:smallCaps w:val="0"/>
          <w:noProof/>
          <w:color w:val="auto"/>
        </w:rPr>
      </w:pPr>
      <w:hyperlink w:anchor="_Toc478116713" w:history="1">
        <w:r w:rsidR="00D223C5" w:rsidRPr="00AC432D">
          <w:rPr>
            <w:rStyle w:val="Hyperlink"/>
            <w:rFonts w:ascii="Calibri" w:hAnsi="Calibri"/>
            <w:noProof/>
          </w:rPr>
          <w:t>Figure 3.1:</w:t>
        </w:r>
        <w:r w:rsidR="00D223C5" w:rsidRPr="00AC432D">
          <w:rPr>
            <w:rStyle w:val="Hyperlink"/>
            <w:noProof/>
          </w:rPr>
          <w:t xml:space="preserve"> Public Capital Programme Allocations by Sector 2008-2017E </w:t>
        </w:r>
        <w:r w:rsidR="00D223C5">
          <w:rPr>
            <w:noProof/>
            <w:webHidden/>
          </w:rPr>
          <w:tab/>
        </w:r>
        <w:r w:rsidR="00D223C5">
          <w:rPr>
            <w:noProof/>
            <w:webHidden/>
          </w:rPr>
          <w:fldChar w:fldCharType="begin"/>
        </w:r>
        <w:r w:rsidR="00D223C5">
          <w:rPr>
            <w:noProof/>
            <w:webHidden/>
          </w:rPr>
          <w:instrText xml:space="preserve"> PAGEREF _Toc478116713 \h </w:instrText>
        </w:r>
        <w:r w:rsidR="00D223C5">
          <w:rPr>
            <w:noProof/>
            <w:webHidden/>
          </w:rPr>
        </w:r>
        <w:r w:rsidR="00D223C5">
          <w:rPr>
            <w:noProof/>
            <w:webHidden/>
          </w:rPr>
          <w:fldChar w:fldCharType="separate"/>
        </w:r>
        <w:r w:rsidR="00164DEA">
          <w:rPr>
            <w:noProof/>
            <w:webHidden/>
          </w:rPr>
          <w:t>18</w:t>
        </w:r>
        <w:r w:rsidR="00D223C5">
          <w:rPr>
            <w:noProof/>
            <w:webHidden/>
          </w:rPr>
          <w:fldChar w:fldCharType="end"/>
        </w:r>
      </w:hyperlink>
    </w:p>
    <w:p w14:paraId="25259FF1" w14:textId="77777777" w:rsidR="00D223C5" w:rsidRDefault="00DB2739">
      <w:pPr>
        <w:pStyle w:val="TableofFigures"/>
        <w:tabs>
          <w:tab w:val="right" w:leader="dot" w:pos="7359"/>
        </w:tabs>
        <w:rPr>
          <w:b w:val="0"/>
          <w:smallCaps w:val="0"/>
          <w:noProof/>
          <w:color w:val="auto"/>
        </w:rPr>
      </w:pPr>
      <w:hyperlink w:anchor="_Toc478116714" w:history="1">
        <w:r w:rsidR="00D223C5" w:rsidRPr="00AC432D">
          <w:rPr>
            <w:rStyle w:val="Hyperlink"/>
            <w:rFonts w:ascii="Calibri" w:hAnsi="Calibri"/>
            <w:noProof/>
          </w:rPr>
          <w:t>Figure 3.2:</w:t>
        </w:r>
        <w:r w:rsidR="00D223C5" w:rsidRPr="00AC432D">
          <w:rPr>
            <w:rStyle w:val="Hyperlink"/>
            <w:noProof/>
          </w:rPr>
          <w:t xml:space="preserve"> General Government Fixed Investment (% of GDP, 2015)</w:t>
        </w:r>
        <w:r w:rsidR="00D223C5">
          <w:rPr>
            <w:noProof/>
            <w:webHidden/>
          </w:rPr>
          <w:tab/>
        </w:r>
        <w:r w:rsidR="00D223C5">
          <w:rPr>
            <w:noProof/>
            <w:webHidden/>
          </w:rPr>
          <w:fldChar w:fldCharType="begin"/>
        </w:r>
        <w:r w:rsidR="00D223C5">
          <w:rPr>
            <w:noProof/>
            <w:webHidden/>
          </w:rPr>
          <w:instrText xml:space="preserve"> PAGEREF _Toc478116714 \h </w:instrText>
        </w:r>
        <w:r w:rsidR="00D223C5">
          <w:rPr>
            <w:noProof/>
            <w:webHidden/>
          </w:rPr>
        </w:r>
        <w:r w:rsidR="00D223C5">
          <w:rPr>
            <w:noProof/>
            <w:webHidden/>
          </w:rPr>
          <w:fldChar w:fldCharType="separate"/>
        </w:r>
        <w:r w:rsidR="00164DEA">
          <w:rPr>
            <w:noProof/>
            <w:webHidden/>
          </w:rPr>
          <w:t>20</w:t>
        </w:r>
        <w:r w:rsidR="00D223C5">
          <w:rPr>
            <w:noProof/>
            <w:webHidden/>
          </w:rPr>
          <w:fldChar w:fldCharType="end"/>
        </w:r>
      </w:hyperlink>
    </w:p>
    <w:p w14:paraId="5E0CBA74" w14:textId="77777777" w:rsidR="000373A6" w:rsidRDefault="004947CE" w:rsidP="000373A6">
      <w:pPr>
        <w:pStyle w:val="DKMBody"/>
      </w:pPr>
      <w:r w:rsidRPr="007B3AB8">
        <w:fldChar w:fldCharType="end"/>
      </w:r>
    </w:p>
    <w:p w14:paraId="690CD15F" w14:textId="2959E390" w:rsidR="00B01666" w:rsidRPr="000373A6" w:rsidRDefault="00B01666" w:rsidP="000373A6">
      <w:pPr>
        <w:pStyle w:val="TableofFigures"/>
        <w:tabs>
          <w:tab w:val="right" w:leader="dot" w:pos="7359"/>
        </w:tabs>
        <w:spacing w:line="276" w:lineRule="auto"/>
        <w:jc w:val="center"/>
        <w:rPr>
          <w:color w:val="98002E"/>
          <w:sz w:val="28"/>
          <w:szCs w:val="28"/>
        </w:rPr>
      </w:pPr>
      <w:r w:rsidRPr="000373A6">
        <w:rPr>
          <w:color w:val="98002E"/>
          <w:sz w:val="28"/>
          <w:szCs w:val="28"/>
        </w:rPr>
        <w:t>List of Tables</w:t>
      </w:r>
    </w:p>
    <w:p w14:paraId="140EA272" w14:textId="5EF1868F" w:rsidR="00D223C5" w:rsidRDefault="00937E29">
      <w:pPr>
        <w:pStyle w:val="TableofFigures"/>
        <w:tabs>
          <w:tab w:val="right" w:leader="dot" w:pos="7359"/>
        </w:tabs>
        <w:rPr>
          <w:b w:val="0"/>
          <w:smallCaps w:val="0"/>
          <w:noProof/>
          <w:color w:val="auto"/>
        </w:rPr>
      </w:pPr>
      <w:r>
        <w:rPr>
          <w:b w:val="0"/>
        </w:rPr>
        <w:t xml:space="preserve"> </w:t>
      </w:r>
      <w:r w:rsidR="004947CE" w:rsidRPr="007B3AB8">
        <w:rPr>
          <w:b w:val="0"/>
        </w:rPr>
        <w:fldChar w:fldCharType="begin"/>
      </w:r>
      <w:r w:rsidR="00B01666" w:rsidRPr="007B3AB8">
        <w:rPr>
          <w:b w:val="0"/>
        </w:rPr>
        <w:instrText xml:space="preserve"> TOC \f E \h \z \t "DKMTable" \c "Table" </w:instrText>
      </w:r>
      <w:r w:rsidR="004947CE" w:rsidRPr="007B3AB8">
        <w:rPr>
          <w:b w:val="0"/>
        </w:rPr>
        <w:fldChar w:fldCharType="separate"/>
      </w:r>
      <w:hyperlink w:anchor="_Toc478116715" w:history="1">
        <w:r w:rsidR="00D223C5" w:rsidRPr="002D6202">
          <w:rPr>
            <w:rStyle w:val="Hyperlink"/>
            <w:rFonts w:ascii="Calibri" w:hAnsi="Calibri"/>
            <w:noProof/>
          </w:rPr>
          <w:t>Table 2.1:</w:t>
        </w:r>
        <w:r w:rsidR="00D223C5" w:rsidRPr="002D6202">
          <w:rPr>
            <w:rStyle w:val="Hyperlink"/>
            <w:noProof/>
          </w:rPr>
          <w:t xml:space="preserve"> Projected Population by Age Cohort, Census Years 2016-2031 (000s)</w:t>
        </w:r>
        <w:r w:rsidR="00D223C5">
          <w:rPr>
            <w:noProof/>
            <w:webHidden/>
          </w:rPr>
          <w:tab/>
        </w:r>
        <w:r w:rsidR="00D223C5">
          <w:rPr>
            <w:noProof/>
            <w:webHidden/>
          </w:rPr>
          <w:fldChar w:fldCharType="begin"/>
        </w:r>
        <w:r w:rsidR="00D223C5">
          <w:rPr>
            <w:noProof/>
            <w:webHidden/>
          </w:rPr>
          <w:instrText xml:space="preserve"> PAGEREF _Toc478116715 \h </w:instrText>
        </w:r>
        <w:r w:rsidR="00D223C5">
          <w:rPr>
            <w:noProof/>
            <w:webHidden/>
          </w:rPr>
        </w:r>
        <w:r w:rsidR="00D223C5">
          <w:rPr>
            <w:noProof/>
            <w:webHidden/>
          </w:rPr>
          <w:fldChar w:fldCharType="separate"/>
        </w:r>
        <w:r w:rsidR="00164DEA">
          <w:rPr>
            <w:noProof/>
            <w:webHidden/>
          </w:rPr>
          <w:t>10</w:t>
        </w:r>
        <w:r w:rsidR="00D223C5">
          <w:rPr>
            <w:noProof/>
            <w:webHidden/>
          </w:rPr>
          <w:fldChar w:fldCharType="end"/>
        </w:r>
      </w:hyperlink>
    </w:p>
    <w:p w14:paraId="107AAC69" w14:textId="77777777" w:rsidR="00D223C5" w:rsidRDefault="00DB2739">
      <w:pPr>
        <w:pStyle w:val="TableofFigures"/>
        <w:tabs>
          <w:tab w:val="right" w:leader="dot" w:pos="7359"/>
        </w:tabs>
        <w:rPr>
          <w:b w:val="0"/>
          <w:smallCaps w:val="0"/>
          <w:noProof/>
          <w:color w:val="auto"/>
        </w:rPr>
      </w:pPr>
      <w:hyperlink w:anchor="_Toc478116716" w:history="1">
        <w:r w:rsidR="00D223C5" w:rsidRPr="002D6202">
          <w:rPr>
            <w:rStyle w:val="Hyperlink"/>
            <w:rFonts w:ascii="Calibri" w:hAnsi="Calibri"/>
            <w:noProof/>
          </w:rPr>
          <w:t>Table 2.2:</w:t>
        </w:r>
        <w:r w:rsidR="00D223C5" w:rsidRPr="002D6202">
          <w:rPr>
            <w:rStyle w:val="Hyperlink"/>
            <w:noProof/>
          </w:rPr>
          <w:t xml:space="preserve"> Population Growth by Age Cohort, Census Year 2016-2031 (%)</w:t>
        </w:r>
        <w:r w:rsidR="00D223C5">
          <w:rPr>
            <w:noProof/>
            <w:webHidden/>
          </w:rPr>
          <w:tab/>
        </w:r>
        <w:r w:rsidR="00D223C5">
          <w:rPr>
            <w:noProof/>
            <w:webHidden/>
          </w:rPr>
          <w:fldChar w:fldCharType="begin"/>
        </w:r>
        <w:r w:rsidR="00D223C5">
          <w:rPr>
            <w:noProof/>
            <w:webHidden/>
          </w:rPr>
          <w:instrText xml:space="preserve"> PAGEREF _Toc478116716 \h </w:instrText>
        </w:r>
        <w:r w:rsidR="00D223C5">
          <w:rPr>
            <w:noProof/>
            <w:webHidden/>
          </w:rPr>
        </w:r>
        <w:r w:rsidR="00D223C5">
          <w:rPr>
            <w:noProof/>
            <w:webHidden/>
          </w:rPr>
          <w:fldChar w:fldCharType="separate"/>
        </w:r>
        <w:r w:rsidR="00164DEA">
          <w:rPr>
            <w:noProof/>
            <w:webHidden/>
          </w:rPr>
          <w:t>11</w:t>
        </w:r>
        <w:r w:rsidR="00D223C5">
          <w:rPr>
            <w:noProof/>
            <w:webHidden/>
          </w:rPr>
          <w:fldChar w:fldCharType="end"/>
        </w:r>
      </w:hyperlink>
    </w:p>
    <w:p w14:paraId="4D34F194" w14:textId="77777777" w:rsidR="00D223C5" w:rsidRDefault="00DB2739">
      <w:pPr>
        <w:pStyle w:val="TableofFigures"/>
        <w:tabs>
          <w:tab w:val="right" w:leader="dot" w:pos="7359"/>
        </w:tabs>
        <w:rPr>
          <w:b w:val="0"/>
          <w:smallCaps w:val="0"/>
          <w:noProof/>
          <w:color w:val="auto"/>
        </w:rPr>
      </w:pPr>
      <w:hyperlink w:anchor="_Toc478116717" w:history="1">
        <w:r w:rsidR="00D223C5" w:rsidRPr="002D6202">
          <w:rPr>
            <w:rStyle w:val="Hyperlink"/>
            <w:rFonts w:ascii="Calibri" w:hAnsi="Calibri"/>
            <w:noProof/>
          </w:rPr>
          <w:t>Table 2.3:</w:t>
        </w:r>
        <w:r w:rsidR="00D223C5" w:rsidRPr="002D6202">
          <w:rPr>
            <w:rStyle w:val="Hyperlink"/>
            <w:noProof/>
          </w:rPr>
          <w:t xml:space="preserve"> 10 Counties with Highest Population Growth, 2011-2016</w:t>
        </w:r>
        <w:r w:rsidR="00D223C5">
          <w:rPr>
            <w:noProof/>
            <w:webHidden/>
          </w:rPr>
          <w:tab/>
        </w:r>
        <w:r w:rsidR="00D223C5">
          <w:rPr>
            <w:noProof/>
            <w:webHidden/>
          </w:rPr>
          <w:fldChar w:fldCharType="begin"/>
        </w:r>
        <w:r w:rsidR="00D223C5">
          <w:rPr>
            <w:noProof/>
            <w:webHidden/>
          </w:rPr>
          <w:instrText xml:space="preserve"> PAGEREF _Toc478116717 \h </w:instrText>
        </w:r>
        <w:r w:rsidR="00D223C5">
          <w:rPr>
            <w:noProof/>
            <w:webHidden/>
          </w:rPr>
        </w:r>
        <w:r w:rsidR="00D223C5">
          <w:rPr>
            <w:noProof/>
            <w:webHidden/>
          </w:rPr>
          <w:fldChar w:fldCharType="separate"/>
        </w:r>
        <w:r w:rsidR="00164DEA">
          <w:rPr>
            <w:noProof/>
            <w:webHidden/>
          </w:rPr>
          <w:t>11</w:t>
        </w:r>
        <w:r w:rsidR="00D223C5">
          <w:rPr>
            <w:noProof/>
            <w:webHidden/>
          </w:rPr>
          <w:fldChar w:fldCharType="end"/>
        </w:r>
      </w:hyperlink>
    </w:p>
    <w:p w14:paraId="03248A28" w14:textId="77777777" w:rsidR="00D223C5" w:rsidRDefault="00DB2739">
      <w:pPr>
        <w:pStyle w:val="TableofFigures"/>
        <w:tabs>
          <w:tab w:val="right" w:leader="dot" w:pos="7359"/>
        </w:tabs>
        <w:rPr>
          <w:b w:val="0"/>
          <w:smallCaps w:val="0"/>
          <w:noProof/>
          <w:color w:val="auto"/>
        </w:rPr>
      </w:pPr>
      <w:hyperlink w:anchor="_Toc478116718" w:history="1">
        <w:r w:rsidR="00D223C5" w:rsidRPr="002D6202">
          <w:rPr>
            <w:rStyle w:val="Hyperlink"/>
            <w:rFonts w:ascii="Calibri" w:hAnsi="Calibri"/>
            <w:noProof/>
          </w:rPr>
          <w:t>Table 2.4:</w:t>
        </w:r>
        <w:r w:rsidR="00D223C5" w:rsidRPr="002D6202">
          <w:rPr>
            <w:rStyle w:val="Hyperlink"/>
            <w:noProof/>
          </w:rPr>
          <w:t xml:space="preserve"> Regional Population Projections, 2016-2031 (000s)</w:t>
        </w:r>
        <w:r w:rsidR="00D223C5">
          <w:rPr>
            <w:noProof/>
            <w:webHidden/>
          </w:rPr>
          <w:tab/>
        </w:r>
        <w:r w:rsidR="00D223C5">
          <w:rPr>
            <w:noProof/>
            <w:webHidden/>
          </w:rPr>
          <w:fldChar w:fldCharType="begin"/>
        </w:r>
        <w:r w:rsidR="00D223C5">
          <w:rPr>
            <w:noProof/>
            <w:webHidden/>
          </w:rPr>
          <w:instrText xml:space="preserve"> PAGEREF _Toc478116718 \h </w:instrText>
        </w:r>
        <w:r w:rsidR="00D223C5">
          <w:rPr>
            <w:noProof/>
            <w:webHidden/>
          </w:rPr>
        </w:r>
        <w:r w:rsidR="00D223C5">
          <w:rPr>
            <w:noProof/>
            <w:webHidden/>
          </w:rPr>
          <w:fldChar w:fldCharType="separate"/>
        </w:r>
        <w:r w:rsidR="00164DEA">
          <w:rPr>
            <w:noProof/>
            <w:webHidden/>
          </w:rPr>
          <w:t>12</w:t>
        </w:r>
        <w:r w:rsidR="00D223C5">
          <w:rPr>
            <w:noProof/>
            <w:webHidden/>
          </w:rPr>
          <w:fldChar w:fldCharType="end"/>
        </w:r>
      </w:hyperlink>
    </w:p>
    <w:p w14:paraId="2BD4D1FC" w14:textId="77777777" w:rsidR="00D223C5" w:rsidRDefault="00DB2739">
      <w:pPr>
        <w:pStyle w:val="TableofFigures"/>
        <w:tabs>
          <w:tab w:val="right" w:leader="dot" w:pos="7359"/>
        </w:tabs>
        <w:rPr>
          <w:b w:val="0"/>
          <w:smallCaps w:val="0"/>
          <w:noProof/>
          <w:color w:val="auto"/>
        </w:rPr>
      </w:pPr>
      <w:hyperlink w:anchor="_Toc478116719" w:history="1">
        <w:r w:rsidR="00D223C5" w:rsidRPr="002D6202">
          <w:rPr>
            <w:rStyle w:val="Hyperlink"/>
            <w:rFonts w:ascii="Calibri" w:hAnsi="Calibri"/>
            <w:noProof/>
          </w:rPr>
          <w:t>Table 3.1:</w:t>
        </w:r>
        <w:r w:rsidR="00D223C5" w:rsidRPr="002D6202">
          <w:rPr>
            <w:rStyle w:val="Hyperlink"/>
            <w:noProof/>
          </w:rPr>
          <w:t xml:space="preserve"> Public Capital Expenditure 2008-2017</w:t>
        </w:r>
        <w:r w:rsidR="00D223C5">
          <w:rPr>
            <w:noProof/>
            <w:webHidden/>
          </w:rPr>
          <w:tab/>
        </w:r>
        <w:r w:rsidR="00D223C5">
          <w:rPr>
            <w:noProof/>
            <w:webHidden/>
          </w:rPr>
          <w:fldChar w:fldCharType="begin"/>
        </w:r>
        <w:r w:rsidR="00D223C5">
          <w:rPr>
            <w:noProof/>
            <w:webHidden/>
          </w:rPr>
          <w:instrText xml:space="preserve"> PAGEREF _Toc478116719 \h </w:instrText>
        </w:r>
        <w:r w:rsidR="00D223C5">
          <w:rPr>
            <w:noProof/>
            <w:webHidden/>
          </w:rPr>
        </w:r>
        <w:r w:rsidR="00D223C5">
          <w:rPr>
            <w:noProof/>
            <w:webHidden/>
          </w:rPr>
          <w:fldChar w:fldCharType="separate"/>
        </w:r>
        <w:r w:rsidR="00164DEA">
          <w:rPr>
            <w:noProof/>
            <w:webHidden/>
          </w:rPr>
          <w:t>17</w:t>
        </w:r>
        <w:r w:rsidR="00D223C5">
          <w:rPr>
            <w:noProof/>
            <w:webHidden/>
          </w:rPr>
          <w:fldChar w:fldCharType="end"/>
        </w:r>
      </w:hyperlink>
    </w:p>
    <w:p w14:paraId="1E8885E5" w14:textId="77777777" w:rsidR="00D223C5" w:rsidRDefault="00DB2739">
      <w:pPr>
        <w:pStyle w:val="TableofFigures"/>
        <w:tabs>
          <w:tab w:val="right" w:leader="dot" w:pos="7359"/>
        </w:tabs>
        <w:rPr>
          <w:b w:val="0"/>
          <w:smallCaps w:val="0"/>
          <w:noProof/>
          <w:color w:val="auto"/>
        </w:rPr>
      </w:pPr>
      <w:hyperlink w:anchor="_Toc478116720" w:history="1">
        <w:r w:rsidR="00D223C5" w:rsidRPr="002D6202">
          <w:rPr>
            <w:rStyle w:val="Hyperlink"/>
            <w:rFonts w:ascii="Calibri" w:hAnsi="Calibri"/>
            <w:noProof/>
          </w:rPr>
          <w:t>Table 3.2:</w:t>
        </w:r>
        <w:r w:rsidR="00D223C5" w:rsidRPr="002D6202">
          <w:rPr>
            <w:rStyle w:val="Hyperlink"/>
            <w:noProof/>
          </w:rPr>
          <w:t xml:space="preserve"> Exchequer Gross Voted Capital Expenditure (2016-2021, €m)</w:t>
        </w:r>
        <w:r w:rsidR="00D223C5">
          <w:rPr>
            <w:noProof/>
            <w:webHidden/>
          </w:rPr>
          <w:tab/>
        </w:r>
        <w:r w:rsidR="00D223C5">
          <w:rPr>
            <w:noProof/>
            <w:webHidden/>
          </w:rPr>
          <w:fldChar w:fldCharType="begin"/>
        </w:r>
        <w:r w:rsidR="00D223C5">
          <w:rPr>
            <w:noProof/>
            <w:webHidden/>
          </w:rPr>
          <w:instrText xml:space="preserve"> PAGEREF _Toc478116720 \h </w:instrText>
        </w:r>
        <w:r w:rsidR="00D223C5">
          <w:rPr>
            <w:noProof/>
            <w:webHidden/>
          </w:rPr>
        </w:r>
        <w:r w:rsidR="00D223C5">
          <w:rPr>
            <w:noProof/>
            <w:webHidden/>
          </w:rPr>
          <w:fldChar w:fldCharType="separate"/>
        </w:r>
        <w:r w:rsidR="00164DEA">
          <w:rPr>
            <w:noProof/>
            <w:webHidden/>
          </w:rPr>
          <w:t>19</w:t>
        </w:r>
        <w:r w:rsidR="00D223C5">
          <w:rPr>
            <w:noProof/>
            <w:webHidden/>
          </w:rPr>
          <w:fldChar w:fldCharType="end"/>
        </w:r>
      </w:hyperlink>
    </w:p>
    <w:p w14:paraId="76856865" w14:textId="77777777" w:rsidR="00D223C5" w:rsidRDefault="00DB2739">
      <w:pPr>
        <w:pStyle w:val="TableofFigures"/>
        <w:tabs>
          <w:tab w:val="right" w:leader="dot" w:pos="7359"/>
        </w:tabs>
        <w:rPr>
          <w:b w:val="0"/>
          <w:smallCaps w:val="0"/>
          <w:noProof/>
          <w:color w:val="auto"/>
        </w:rPr>
      </w:pPr>
      <w:hyperlink w:anchor="_Toc478116721" w:history="1">
        <w:r w:rsidR="00D223C5" w:rsidRPr="002D6202">
          <w:rPr>
            <w:rStyle w:val="Hyperlink"/>
            <w:rFonts w:ascii="Calibri" w:hAnsi="Calibri"/>
            <w:noProof/>
          </w:rPr>
          <w:t>Table 3.3:</w:t>
        </w:r>
        <w:r w:rsidR="00D223C5" w:rsidRPr="002D6202">
          <w:rPr>
            <w:rStyle w:val="Hyperlink"/>
            <w:noProof/>
          </w:rPr>
          <w:t xml:space="preserve"> Sources of Total Expenditure in the Public Capital Programme (2017, €m)</w:t>
        </w:r>
        <w:r w:rsidR="00D223C5">
          <w:rPr>
            <w:noProof/>
            <w:webHidden/>
          </w:rPr>
          <w:tab/>
        </w:r>
        <w:r w:rsidR="00D223C5">
          <w:rPr>
            <w:noProof/>
            <w:webHidden/>
          </w:rPr>
          <w:fldChar w:fldCharType="begin"/>
        </w:r>
        <w:r w:rsidR="00D223C5">
          <w:rPr>
            <w:noProof/>
            <w:webHidden/>
          </w:rPr>
          <w:instrText xml:space="preserve"> PAGEREF _Toc478116721 \h </w:instrText>
        </w:r>
        <w:r w:rsidR="00D223C5">
          <w:rPr>
            <w:noProof/>
            <w:webHidden/>
          </w:rPr>
        </w:r>
        <w:r w:rsidR="00D223C5">
          <w:rPr>
            <w:noProof/>
            <w:webHidden/>
          </w:rPr>
          <w:fldChar w:fldCharType="separate"/>
        </w:r>
        <w:r w:rsidR="00164DEA">
          <w:rPr>
            <w:noProof/>
            <w:webHidden/>
          </w:rPr>
          <w:t>20</w:t>
        </w:r>
        <w:r w:rsidR="00D223C5">
          <w:rPr>
            <w:noProof/>
            <w:webHidden/>
          </w:rPr>
          <w:fldChar w:fldCharType="end"/>
        </w:r>
      </w:hyperlink>
    </w:p>
    <w:p w14:paraId="7702F275" w14:textId="77777777" w:rsidR="00D223C5" w:rsidRDefault="00DB2739">
      <w:pPr>
        <w:pStyle w:val="TableofFigures"/>
        <w:tabs>
          <w:tab w:val="right" w:leader="dot" w:pos="7359"/>
        </w:tabs>
        <w:rPr>
          <w:b w:val="0"/>
          <w:smallCaps w:val="0"/>
          <w:noProof/>
          <w:color w:val="auto"/>
        </w:rPr>
      </w:pPr>
      <w:hyperlink w:anchor="_Toc478116722" w:history="1">
        <w:r w:rsidR="00D223C5" w:rsidRPr="002D6202">
          <w:rPr>
            <w:rStyle w:val="Hyperlink"/>
            <w:rFonts w:ascii="Calibri" w:hAnsi="Calibri"/>
            <w:noProof/>
          </w:rPr>
          <w:t>Table 3.4:</w:t>
        </w:r>
        <w:r w:rsidR="00D223C5" w:rsidRPr="002D6202">
          <w:rPr>
            <w:rStyle w:val="Hyperlink"/>
            <w:noProof/>
          </w:rPr>
          <w:t xml:space="preserve"> Department of Education &amp; Skills: Voted Capital Expenditure (€m)</w:t>
        </w:r>
        <w:r w:rsidR="00D223C5">
          <w:rPr>
            <w:noProof/>
            <w:webHidden/>
          </w:rPr>
          <w:tab/>
        </w:r>
        <w:r w:rsidR="00D223C5">
          <w:rPr>
            <w:noProof/>
            <w:webHidden/>
          </w:rPr>
          <w:fldChar w:fldCharType="begin"/>
        </w:r>
        <w:r w:rsidR="00D223C5">
          <w:rPr>
            <w:noProof/>
            <w:webHidden/>
          </w:rPr>
          <w:instrText xml:space="preserve"> PAGEREF _Toc478116722 \h </w:instrText>
        </w:r>
        <w:r w:rsidR="00D223C5">
          <w:rPr>
            <w:noProof/>
            <w:webHidden/>
          </w:rPr>
        </w:r>
        <w:r w:rsidR="00D223C5">
          <w:rPr>
            <w:noProof/>
            <w:webHidden/>
          </w:rPr>
          <w:fldChar w:fldCharType="separate"/>
        </w:r>
        <w:r w:rsidR="00164DEA">
          <w:rPr>
            <w:noProof/>
            <w:webHidden/>
          </w:rPr>
          <w:t>21</w:t>
        </w:r>
        <w:r w:rsidR="00D223C5">
          <w:rPr>
            <w:noProof/>
            <w:webHidden/>
          </w:rPr>
          <w:fldChar w:fldCharType="end"/>
        </w:r>
      </w:hyperlink>
    </w:p>
    <w:p w14:paraId="471C77CD" w14:textId="77777777" w:rsidR="00D223C5" w:rsidRDefault="00DB2739">
      <w:pPr>
        <w:pStyle w:val="TableofFigures"/>
        <w:tabs>
          <w:tab w:val="right" w:leader="dot" w:pos="7359"/>
        </w:tabs>
        <w:rPr>
          <w:b w:val="0"/>
          <w:smallCaps w:val="0"/>
          <w:noProof/>
          <w:color w:val="auto"/>
        </w:rPr>
      </w:pPr>
      <w:hyperlink w:anchor="_Toc478116723" w:history="1">
        <w:r w:rsidR="00D223C5" w:rsidRPr="002D6202">
          <w:rPr>
            <w:rStyle w:val="Hyperlink"/>
            <w:rFonts w:ascii="Calibri" w:hAnsi="Calibri"/>
            <w:noProof/>
          </w:rPr>
          <w:t>Table 3.5:</w:t>
        </w:r>
        <w:r w:rsidR="00D223C5" w:rsidRPr="002D6202">
          <w:rPr>
            <w:rStyle w:val="Hyperlink"/>
            <w:noProof/>
          </w:rPr>
          <w:t xml:space="preserve"> Department of Health: Voted Capital Expenditure (€m)</w:t>
        </w:r>
        <w:r w:rsidR="00D223C5">
          <w:rPr>
            <w:noProof/>
            <w:webHidden/>
          </w:rPr>
          <w:tab/>
        </w:r>
        <w:r w:rsidR="00D223C5">
          <w:rPr>
            <w:noProof/>
            <w:webHidden/>
          </w:rPr>
          <w:fldChar w:fldCharType="begin"/>
        </w:r>
        <w:r w:rsidR="00D223C5">
          <w:rPr>
            <w:noProof/>
            <w:webHidden/>
          </w:rPr>
          <w:instrText xml:space="preserve"> PAGEREF _Toc478116723 \h </w:instrText>
        </w:r>
        <w:r w:rsidR="00D223C5">
          <w:rPr>
            <w:noProof/>
            <w:webHidden/>
          </w:rPr>
        </w:r>
        <w:r w:rsidR="00D223C5">
          <w:rPr>
            <w:noProof/>
            <w:webHidden/>
          </w:rPr>
          <w:fldChar w:fldCharType="separate"/>
        </w:r>
        <w:r w:rsidR="00164DEA">
          <w:rPr>
            <w:noProof/>
            <w:webHidden/>
          </w:rPr>
          <w:t>22</w:t>
        </w:r>
        <w:r w:rsidR="00D223C5">
          <w:rPr>
            <w:noProof/>
            <w:webHidden/>
          </w:rPr>
          <w:fldChar w:fldCharType="end"/>
        </w:r>
      </w:hyperlink>
    </w:p>
    <w:p w14:paraId="2A2CD2B5" w14:textId="77777777" w:rsidR="00D223C5" w:rsidRDefault="00DB2739">
      <w:pPr>
        <w:pStyle w:val="TableofFigures"/>
        <w:tabs>
          <w:tab w:val="right" w:leader="dot" w:pos="7359"/>
        </w:tabs>
        <w:rPr>
          <w:b w:val="0"/>
          <w:smallCaps w:val="0"/>
          <w:noProof/>
          <w:color w:val="auto"/>
        </w:rPr>
      </w:pPr>
      <w:hyperlink w:anchor="_Toc478116724" w:history="1">
        <w:r w:rsidR="00D223C5" w:rsidRPr="002D6202">
          <w:rPr>
            <w:rStyle w:val="Hyperlink"/>
            <w:rFonts w:ascii="Calibri" w:hAnsi="Calibri"/>
            <w:noProof/>
          </w:rPr>
          <w:t>Table 3.6:</w:t>
        </w:r>
        <w:r w:rsidR="00D223C5" w:rsidRPr="002D6202">
          <w:rPr>
            <w:rStyle w:val="Hyperlink"/>
            <w:noProof/>
          </w:rPr>
          <w:t xml:space="preserve"> Housing, Planning, Community &amp; Local Government: Exchequer Capital Expenditure and PCP Housing (€m)</w:t>
        </w:r>
        <w:r w:rsidR="00D223C5">
          <w:rPr>
            <w:noProof/>
            <w:webHidden/>
          </w:rPr>
          <w:tab/>
        </w:r>
        <w:r w:rsidR="00D223C5">
          <w:rPr>
            <w:noProof/>
            <w:webHidden/>
          </w:rPr>
          <w:fldChar w:fldCharType="begin"/>
        </w:r>
        <w:r w:rsidR="00D223C5">
          <w:rPr>
            <w:noProof/>
            <w:webHidden/>
          </w:rPr>
          <w:instrText xml:space="preserve"> PAGEREF _Toc478116724 \h </w:instrText>
        </w:r>
        <w:r w:rsidR="00D223C5">
          <w:rPr>
            <w:noProof/>
            <w:webHidden/>
          </w:rPr>
        </w:r>
        <w:r w:rsidR="00D223C5">
          <w:rPr>
            <w:noProof/>
            <w:webHidden/>
          </w:rPr>
          <w:fldChar w:fldCharType="separate"/>
        </w:r>
        <w:r w:rsidR="00164DEA">
          <w:rPr>
            <w:noProof/>
            <w:webHidden/>
          </w:rPr>
          <w:t>23</w:t>
        </w:r>
        <w:r w:rsidR="00D223C5">
          <w:rPr>
            <w:noProof/>
            <w:webHidden/>
          </w:rPr>
          <w:fldChar w:fldCharType="end"/>
        </w:r>
      </w:hyperlink>
    </w:p>
    <w:p w14:paraId="149C3E6D" w14:textId="77777777" w:rsidR="00D223C5" w:rsidRDefault="00DB2739">
      <w:pPr>
        <w:pStyle w:val="TableofFigures"/>
        <w:tabs>
          <w:tab w:val="right" w:leader="dot" w:pos="7359"/>
        </w:tabs>
        <w:rPr>
          <w:b w:val="0"/>
          <w:smallCaps w:val="0"/>
          <w:noProof/>
          <w:color w:val="auto"/>
        </w:rPr>
      </w:pPr>
      <w:hyperlink w:anchor="_Toc478116725" w:history="1">
        <w:r w:rsidR="00D223C5" w:rsidRPr="002D6202">
          <w:rPr>
            <w:rStyle w:val="Hyperlink"/>
            <w:rFonts w:ascii="Calibri" w:hAnsi="Calibri"/>
            <w:noProof/>
          </w:rPr>
          <w:t>Table 3.7:</w:t>
        </w:r>
        <w:r w:rsidR="00D223C5" w:rsidRPr="002D6202">
          <w:rPr>
            <w:rStyle w:val="Hyperlink"/>
            <w:noProof/>
          </w:rPr>
          <w:t xml:space="preserve"> Department of Transport, Tourism &amp; Sport: Voted Capital Expenditure (€m)</w:t>
        </w:r>
        <w:r w:rsidR="00D223C5">
          <w:rPr>
            <w:noProof/>
            <w:webHidden/>
          </w:rPr>
          <w:tab/>
        </w:r>
        <w:r w:rsidR="00D223C5">
          <w:rPr>
            <w:noProof/>
            <w:webHidden/>
          </w:rPr>
          <w:fldChar w:fldCharType="begin"/>
        </w:r>
        <w:r w:rsidR="00D223C5">
          <w:rPr>
            <w:noProof/>
            <w:webHidden/>
          </w:rPr>
          <w:instrText xml:space="preserve"> PAGEREF _Toc478116725 \h </w:instrText>
        </w:r>
        <w:r w:rsidR="00D223C5">
          <w:rPr>
            <w:noProof/>
            <w:webHidden/>
          </w:rPr>
        </w:r>
        <w:r w:rsidR="00D223C5">
          <w:rPr>
            <w:noProof/>
            <w:webHidden/>
          </w:rPr>
          <w:fldChar w:fldCharType="separate"/>
        </w:r>
        <w:r w:rsidR="00164DEA">
          <w:rPr>
            <w:noProof/>
            <w:webHidden/>
          </w:rPr>
          <w:t>23</w:t>
        </w:r>
        <w:r w:rsidR="00D223C5">
          <w:rPr>
            <w:noProof/>
            <w:webHidden/>
          </w:rPr>
          <w:fldChar w:fldCharType="end"/>
        </w:r>
      </w:hyperlink>
    </w:p>
    <w:p w14:paraId="491398D0" w14:textId="77777777" w:rsidR="00D223C5" w:rsidRDefault="00DB2739">
      <w:pPr>
        <w:pStyle w:val="TableofFigures"/>
        <w:tabs>
          <w:tab w:val="right" w:leader="dot" w:pos="7359"/>
        </w:tabs>
        <w:rPr>
          <w:b w:val="0"/>
          <w:smallCaps w:val="0"/>
          <w:noProof/>
          <w:color w:val="auto"/>
        </w:rPr>
      </w:pPr>
      <w:hyperlink w:anchor="_Toc478116726" w:history="1">
        <w:r w:rsidR="00D223C5" w:rsidRPr="002D6202">
          <w:rPr>
            <w:rStyle w:val="Hyperlink"/>
            <w:rFonts w:ascii="Calibri" w:hAnsi="Calibri"/>
            <w:noProof/>
          </w:rPr>
          <w:t>Table 3.8:</w:t>
        </w:r>
        <w:r w:rsidR="00D223C5" w:rsidRPr="002D6202">
          <w:rPr>
            <w:rStyle w:val="Hyperlink"/>
            <w:noProof/>
          </w:rPr>
          <w:t xml:space="preserve"> Indicative Allocation of Available Net Fiscal Space 2017-2021</w:t>
        </w:r>
        <w:r w:rsidR="00D223C5">
          <w:rPr>
            <w:noProof/>
            <w:webHidden/>
          </w:rPr>
          <w:tab/>
        </w:r>
        <w:r w:rsidR="00D223C5">
          <w:rPr>
            <w:noProof/>
            <w:webHidden/>
          </w:rPr>
          <w:fldChar w:fldCharType="begin"/>
        </w:r>
        <w:r w:rsidR="00D223C5">
          <w:rPr>
            <w:noProof/>
            <w:webHidden/>
          </w:rPr>
          <w:instrText xml:space="preserve"> PAGEREF _Toc478116726 \h </w:instrText>
        </w:r>
        <w:r w:rsidR="00D223C5">
          <w:rPr>
            <w:noProof/>
            <w:webHidden/>
          </w:rPr>
        </w:r>
        <w:r w:rsidR="00D223C5">
          <w:rPr>
            <w:noProof/>
            <w:webHidden/>
          </w:rPr>
          <w:fldChar w:fldCharType="separate"/>
        </w:r>
        <w:r w:rsidR="00164DEA">
          <w:rPr>
            <w:noProof/>
            <w:webHidden/>
          </w:rPr>
          <w:t>25</w:t>
        </w:r>
        <w:r w:rsidR="00D223C5">
          <w:rPr>
            <w:noProof/>
            <w:webHidden/>
          </w:rPr>
          <w:fldChar w:fldCharType="end"/>
        </w:r>
      </w:hyperlink>
    </w:p>
    <w:p w14:paraId="0FDA4CC4" w14:textId="77777777" w:rsidR="00D223C5" w:rsidRDefault="00DB2739">
      <w:pPr>
        <w:pStyle w:val="TableofFigures"/>
        <w:tabs>
          <w:tab w:val="right" w:leader="dot" w:pos="7359"/>
        </w:tabs>
        <w:rPr>
          <w:b w:val="0"/>
          <w:smallCaps w:val="0"/>
          <w:noProof/>
          <w:color w:val="auto"/>
        </w:rPr>
      </w:pPr>
      <w:hyperlink w:anchor="_Toc478116727" w:history="1">
        <w:r w:rsidR="00D223C5" w:rsidRPr="002D6202">
          <w:rPr>
            <w:rStyle w:val="Hyperlink"/>
            <w:rFonts w:ascii="Calibri" w:hAnsi="Calibri"/>
            <w:noProof/>
          </w:rPr>
          <w:t>Table 4.1:</w:t>
        </w:r>
        <w:r w:rsidR="00D223C5" w:rsidRPr="002D6202">
          <w:rPr>
            <w:rStyle w:val="Hyperlink"/>
            <w:noProof/>
          </w:rPr>
          <w:t xml:space="preserve"> EIB Projects: Number &amp; Value in Ireland, 2012-2016</w:t>
        </w:r>
        <w:r w:rsidR="00D223C5">
          <w:rPr>
            <w:noProof/>
            <w:webHidden/>
          </w:rPr>
          <w:tab/>
        </w:r>
        <w:r w:rsidR="00D223C5">
          <w:rPr>
            <w:noProof/>
            <w:webHidden/>
          </w:rPr>
          <w:fldChar w:fldCharType="begin"/>
        </w:r>
        <w:r w:rsidR="00D223C5">
          <w:rPr>
            <w:noProof/>
            <w:webHidden/>
          </w:rPr>
          <w:instrText xml:space="preserve"> PAGEREF _Toc478116727 \h </w:instrText>
        </w:r>
        <w:r w:rsidR="00D223C5">
          <w:rPr>
            <w:noProof/>
            <w:webHidden/>
          </w:rPr>
        </w:r>
        <w:r w:rsidR="00D223C5">
          <w:rPr>
            <w:noProof/>
            <w:webHidden/>
          </w:rPr>
          <w:fldChar w:fldCharType="separate"/>
        </w:r>
        <w:r w:rsidR="00164DEA">
          <w:rPr>
            <w:noProof/>
            <w:webHidden/>
          </w:rPr>
          <w:t>30</w:t>
        </w:r>
        <w:r w:rsidR="00D223C5">
          <w:rPr>
            <w:noProof/>
            <w:webHidden/>
          </w:rPr>
          <w:fldChar w:fldCharType="end"/>
        </w:r>
      </w:hyperlink>
    </w:p>
    <w:p w14:paraId="44BFAF94" w14:textId="77777777" w:rsidR="00D223C5" w:rsidRDefault="00DB2739">
      <w:pPr>
        <w:pStyle w:val="TableofFigures"/>
        <w:tabs>
          <w:tab w:val="right" w:leader="dot" w:pos="7359"/>
        </w:tabs>
        <w:rPr>
          <w:b w:val="0"/>
          <w:smallCaps w:val="0"/>
          <w:noProof/>
          <w:color w:val="auto"/>
        </w:rPr>
      </w:pPr>
      <w:hyperlink w:anchor="_Toc478116728" w:history="1">
        <w:r w:rsidR="00D223C5" w:rsidRPr="002D6202">
          <w:rPr>
            <w:rStyle w:val="Hyperlink"/>
            <w:rFonts w:ascii="Calibri" w:hAnsi="Calibri"/>
            <w:noProof/>
          </w:rPr>
          <w:t>Table 4.2:</w:t>
        </w:r>
        <w:r w:rsidR="00D223C5" w:rsidRPr="002D6202">
          <w:rPr>
            <w:rStyle w:val="Hyperlink"/>
            <w:noProof/>
          </w:rPr>
          <w:t xml:space="preserve"> ISIF Regional Economic Impact 2016 (%)</w:t>
        </w:r>
        <w:r w:rsidR="00D223C5">
          <w:rPr>
            <w:noProof/>
            <w:webHidden/>
          </w:rPr>
          <w:tab/>
        </w:r>
        <w:r w:rsidR="00D223C5">
          <w:rPr>
            <w:noProof/>
            <w:webHidden/>
          </w:rPr>
          <w:fldChar w:fldCharType="begin"/>
        </w:r>
        <w:r w:rsidR="00D223C5">
          <w:rPr>
            <w:noProof/>
            <w:webHidden/>
          </w:rPr>
          <w:instrText xml:space="preserve"> PAGEREF _Toc478116728 \h </w:instrText>
        </w:r>
        <w:r w:rsidR="00D223C5">
          <w:rPr>
            <w:noProof/>
            <w:webHidden/>
          </w:rPr>
        </w:r>
        <w:r w:rsidR="00D223C5">
          <w:rPr>
            <w:noProof/>
            <w:webHidden/>
          </w:rPr>
          <w:fldChar w:fldCharType="separate"/>
        </w:r>
        <w:r w:rsidR="00164DEA">
          <w:rPr>
            <w:noProof/>
            <w:webHidden/>
          </w:rPr>
          <w:t>32</w:t>
        </w:r>
        <w:r w:rsidR="00D223C5">
          <w:rPr>
            <w:noProof/>
            <w:webHidden/>
          </w:rPr>
          <w:fldChar w:fldCharType="end"/>
        </w:r>
      </w:hyperlink>
    </w:p>
    <w:p w14:paraId="08BF9956" w14:textId="77777777" w:rsidR="00D223C5" w:rsidRDefault="00DB2739">
      <w:pPr>
        <w:pStyle w:val="TableofFigures"/>
        <w:tabs>
          <w:tab w:val="right" w:leader="dot" w:pos="7359"/>
        </w:tabs>
        <w:rPr>
          <w:b w:val="0"/>
          <w:smallCaps w:val="0"/>
          <w:noProof/>
          <w:color w:val="auto"/>
        </w:rPr>
      </w:pPr>
      <w:hyperlink w:anchor="_Toc478116729" w:history="1">
        <w:r w:rsidR="00D223C5" w:rsidRPr="002D6202">
          <w:rPr>
            <w:rStyle w:val="Hyperlink"/>
            <w:rFonts w:ascii="Calibri" w:hAnsi="Calibri"/>
            <w:noProof/>
          </w:rPr>
          <w:t>Table 4.3:</w:t>
        </w:r>
        <w:r w:rsidR="00D223C5" w:rsidRPr="002D6202">
          <w:rPr>
            <w:rStyle w:val="Hyperlink"/>
            <w:noProof/>
          </w:rPr>
          <w:t xml:space="preserve"> ISIF &amp; Third-Party Commitments (31 December 2016)</w:t>
        </w:r>
        <w:r w:rsidR="00D223C5">
          <w:rPr>
            <w:noProof/>
            <w:webHidden/>
          </w:rPr>
          <w:tab/>
        </w:r>
        <w:r w:rsidR="00D223C5">
          <w:rPr>
            <w:noProof/>
            <w:webHidden/>
          </w:rPr>
          <w:fldChar w:fldCharType="begin"/>
        </w:r>
        <w:r w:rsidR="00D223C5">
          <w:rPr>
            <w:noProof/>
            <w:webHidden/>
          </w:rPr>
          <w:instrText xml:space="preserve"> PAGEREF _Toc478116729 \h </w:instrText>
        </w:r>
        <w:r w:rsidR="00D223C5">
          <w:rPr>
            <w:noProof/>
            <w:webHidden/>
          </w:rPr>
        </w:r>
        <w:r w:rsidR="00D223C5">
          <w:rPr>
            <w:noProof/>
            <w:webHidden/>
          </w:rPr>
          <w:fldChar w:fldCharType="separate"/>
        </w:r>
        <w:r w:rsidR="00164DEA">
          <w:rPr>
            <w:noProof/>
            <w:webHidden/>
          </w:rPr>
          <w:t>32</w:t>
        </w:r>
        <w:r w:rsidR="00D223C5">
          <w:rPr>
            <w:noProof/>
            <w:webHidden/>
          </w:rPr>
          <w:fldChar w:fldCharType="end"/>
        </w:r>
      </w:hyperlink>
    </w:p>
    <w:p w14:paraId="0ECF4E90" w14:textId="57BE3093" w:rsidR="006224B8" w:rsidRPr="007B3AB8" w:rsidRDefault="004947CE" w:rsidP="008A0E3C">
      <w:pPr>
        <w:pStyle w:val="DKMBodyText"/>
        <w:spacing w:line="276" w:lineRule="auto"/>
        <w:rPr>
          <w:rFonts w:asciiTheme="minorHAnsi" w:hAnsiTheme="minorHAnsi"/>
        </w:rPr>
      </w:pPr>
      <w:r w:rsidRPr="007B3AB8">
        <w:rPr>
          <w:rFonts w:asciiTheme="minorHAnsi" w:hAnsiTheme="minorHAnsi"/>
          <w:b/>
        </w:rPr>
        <w:fldChar w:fldCharType="end"/>
      </w:r>
    </w:p>
    <w:p w14:paraId="42059E3D" w14:textId="7B7EC639" w:rsidR="006224B8" w:rsidRPr="007B3AB8" w:rsidRDefault="006224B8" w:rsidP="008A0E3C">
      <w:pPr>
        <w:pStyle w:val="DKMBodyText"/>
        <w:spacing w:line="276" w:lineRule="auto"/>
        <w:rPr>
          <w:rFonts w:asciiTheme="minorHAnsi" w:hAnsiTheme="minorHAnsi"/>
        </w:rPr>
      </w:pPr>
    </w:p>
    <w:p w14:paraId="6C945F47" w14:textId="262119A6" w:rsidR="006224B8" w:rsidRPr="007B3AB8" w:rsidRDefault="006224B8" w:rsidP="008A0E3C">
      <w:pPr>
        <w:pStyle w:val="DKMBodyText"/>
        <w:spacing w:line="276" w:lineRule="auto"/>
        <w:rPr>
          <w:rFonts w:asciiTheme="minorHAnsi" w:hAnsiTheme="minorHAnsi"/>
        </w:rPr>
      </w:pPr>
    </w:p>
    <w:p w14:paraId="13180DD3" w14:textId="77777777" w:rsidR="006224B8" w:rsidRPr="007B3AB8" w:rsidRDefault="006224B8" w:rsidP="008A0E3C">
      <w:pPr>
        <w:pStyle w:val="DKMBodyText"/>
        <w:spacing w:line="276" w:lineRule="auto"/>
        <w:rPr>
          <w:rFonts w:asciiTheme="minorHAnsi" w:hAnsiTheme="minorHAnsi"/>
        </w:rPr>
      </w:pPr>
    </w:p>
    <w:p w14:paraId="1CD701D7" w14:textId="77777777" w:rsidR="006224B8" w:rsidRPr="007B3AB8" w:rsidRDefault="006224B8" w:rsidP="008A0E3C">
      <w:pPr>
        <w:pStyle w:val="DKMBodyText"/>
        <w:spacing w:line="276" w:lineRule="auto"/>
        <w:rPr>
          <w:rFonts w:asciiTheme="minorHAnsi" w:hAnsiTheme="minorHAnsi"/>
        </w:rPr>
      </w:pPr>
    </w:p>
    <w:p w14:paraId="46675C57" w14:textId="77777777" w:rsidR="00B01666" w:rsidRPr="007B3AB8" w:rsidRDefault="00B01666" w:rsidP="008A0E3C">
      <w:pPr>
        <w:pStyle w:val="DKMBodyText"/>
        <w:spacing w:line="276" w:lineRule="auto"/>
        <w:rPr>
          <w:rFonts w:asciiTheme="minorHAnsi" w:hAnsiTheme="minorHAnsi"/>
        </w:rPr>
      </w:pPr>
    </w:p>
    <w:p w14:paraId="064E622E" w14:textId="77777777" w:rsidR="00B01666" w:rsidRPr="007B3AB8" w:rsidRDefault="00B01666" w:rsidP="008A0E3C">
      <w:pPr>
        <w:pStyle w:val="DKM1"/>
        <w:numPr>
          <w:ilvl w:val="0"/>
          <w:numId w:val="0"/>
        </w:numPr>
        <w:spacing w:line="276" w:lineRule="auto"/>
        <w:rPr>
          <w:rFonts w:asciiTheme="minorHAnsi" w:hAnsiTheme="minorHAnsi"/>
          <w:sz w:val="22"/>
          <w:szCs w:val="22"/>
        </w:rPr>
        <w:sectPr w:rsidR="00B01666" w:rsidRPr="007B3AB8" w:rsidSect="00CB326D">
          <w:headerReference w:type="default" r:id="rId8"/>
          <w:footerReference w:type="default" r:id="rId9"/>
          <w:pgSz w:w="11906" w:h="16838" w:code="9"/>
          <w:pgMar w:top="2041" w:right="851" w:bottom="1418" w:left="3686" w:header="709" w:footer="709" w:gutter="0"/>
          <w:cols w:space="708"/>
          <w:titlePg/>
          <w:docGrid w:linePitch="360"/>
        </w:sectPr>
      </w:pPr>
    </w:p>
    <w:p w14:paraId="081939C2" w14:textId="45F9F97D" w:rsidR="00D97110" w:rsidRPr="00262638" w:rsidRDefault="00D97110" w:rsidP="008A0E3C">
      <w:pPr>
        <w:pStyle w:val="DKM1"/>
        <w:numPr>
          <w:ilvl w:val="0"/>
          <w:numId w:val="0"/>
        </w:numPr>
        <w:spacing w:line="276" w:lineRule="auto"/>
        <w:jc w:val="left"/>
        <w:rPr>
          <w:rFonts w:asciiTheme="minorHAnsi" w:hAnsiTheme="minorHAnsi"/>
        </w:rPr>
      </w:pPr>
      <w:bookmarkStart w:id="1" w:name="_Toc347240503"/>
      <w:bookmarkStart w:id="2" w:name="_Toc478116678"/>
      <w:r w:rsidRPr="00262638">
        <w:rPr>
          <w:rFonts w:asciiTheme="minorHAnsi" w:hAnsiTheme="minorHAnsi"/>
        </w:rPr>
        <w:lastRenderedPageBreak/>
        <w:t>Executive summary</w:t>
      </w:r>
      <w:bookmarkEnd w:id="1"/>
      <w:r w:rsidR="00CA36AC" w:rsidRPr="00262638">
        <w:rPr>
          <w:rFonts w:asciiTheme="minorHAnsi" w:hAnsiTheme="minorHAnsi"/>
        </w:rPr>
        <w:t xml:space="preserve"> and Recommendations</w:t>
      </w:r>
      <w:bookmarkEnd w:id="2"/>
    </w:p>
    <w:p w14:paraId="7D37ABC9" w14:textId="77777777" w:rsidR="00773B6C" w:rsidRPr="00773B6C" w:rsidRDefault="00773B6C" w:rsidP="00916E0D">
      <w:pPr>
        <w:spacing w:line="300" w:lineRule="atLeast"/>
        <w:rPr>
          <w:sz w:val="20"/>
          <w:szCs w:val="20"/>
        </w:rPr>
      </w:pPr>
      <w:r w:rsidRPr="00773B6C">
        <w:rPr>
          <w:sz w:val="20"/>
          <w:szCs w:val="20"/>
        </w:rPr>
        <w:t>The CIF welcomes the opportunity to inform the Budgetary Oversight Committee on current issues in the construction industry. Although reports from the Ulster Bank Purchasing Managers Index (PMI) suggest activity in the Irish construction industry is growing at a robust pace each month, the reality is that the industry is recovering from an exceptionally low base and the recovery has been predominantly concentrated in the building sector and in the Dublin region. The immediate concerns for the industry are as follows:</w:t>
      </w:r>
    </w:p>
    <w:p w14:paraId="5BC6409E" w14:textId="77777777" w:rsidR="00773B6C" w:rsidRPr="00773B6C" w:rsidRDefault="00773B6C" w:rsidP="00916E0D">
      <w:pPr>
        <w:spacing w:line="300" w:lineRule="atLeast"/>
        <w:rPr>
          <w:sz w:val="20"/>
          <w:szCs w:val="20"/>
        </w:rPr>
      </w:pPr>
    </w:p>
    <w:p w14:paraId="5723BF48" w14:textId="006B9BB9" w:rsidR="00E27E58" w:rsidRDefault="00E27E58" w:rsidP="00916E0D">
      <w:pPr>
        <w:pStyle w:val="ListParagraph"/>
        <w:numPr>
          <w:ilvl w:val="0"/>
          <w:numId w:val="46"/>
        </w:numPr>
        <w:spacing w:after="0" w:line="300" w:lineRule="atLeast"/>
        <w:ind w:left="426"/>
        <w:jc w:val="both"/>
        <w:rPr>
          <w:rFonts w:asciiTheme="minorHAnsi" w:hAnsiTheme="minorHAnsi"/>
          <w:sz w:val="20"/>
          <w:szCs w:val="20"/>
        </w:rPr>
      </w:pPr>
      <w:r>
        <w:rPr>
          <w:rFonts w:asciiTheme="minorHAnsi" w:hAnsiTheme="minorHAnsi"/>
          <w:sz w:val="20"/>
          <w:szCs w:val="20"/>
        </w:rPr>
        <w:t xml:space="preserve">What is now an infrastructure crisis </w:t>
      </w:r>
      <w:r w:rsidR="003350E6">
        <w:rPr>
          <w:rFonts w:asciiTheme="minorHAnsi" w:hAnsiTheme="minorHAnsi"/>
          <w:sz w:val="20"/>
          <w:szCs w:val="20"/>
        </w:rPr>
        <w:t xml:space="preserve">is </w:t>
      </w:r>
      <w:r>
        <w:rPr>
          <w:rFonts w:asciiTheme="minorHAnsi" w:hAnsiTheme="minorHAnsi"/>
          <w:sz w:val="20"/>
          <w:szCs w:val="20"/>
        </w:rPr>
        <w:t>threatening Ireland’s future economic growth, the quality of services for Irish citizens and our ability to deal with Brexit and other external shocks</w:t>
      </w:r>
      <w:r w:rsidR="003350E6">
        <w:rPr>
          <w:rFonts w:asciiTheme="minorHAnsi" w:hAnsiTheme="minorHAnsi"/>
          <w:sz w:val="20"/>
          <w:szCs w:val="20"/>
        </w:rPr>
        <w:t>;</w:t>
      </w:r>
      <w:r>
        <w:rPr>
          <w:rFonts w:asciiTheme="minorHAnsi" w:hAnsiTheme="minorHAnsi"/>
          <w:sz w:val="20"/>
          <w:szCs w:val="20"/>
        </w:rPr>
        <w:t xml:space="preserve"> </w:t>
      </w:r>
    </w:p>
    <w:p w14:paraId="55CA2FAC" w14:textId="77777777" w:rsidR="00E27E58" w:rsidRDefault="00E27E58" w:rsidP="00916E0D">
      <w:pPr>
        <w:pStyle w:val="ListParagraph"/>
        <w:spacing w:after="0" w:line="300" w:lineRule="atLeast"/>
        <w:ind w:left="426"/>
        <w:jc w:val="both"/>
        <w:rPr>
          <w:rFonts w:asciiTheme="minorHAnsi" w:hAnsiTheme="minorHAnsi"/>
          <w:sz w:val="20"/>
          <w:szCs w:val="20"/>
        </w:rPr>
      </w:pPr>
    </w:p>
    <w:p w14:paraId="5FA9DE50" w14:textId="2AD117B9" w:rsidR="00773B6C" w:rsidRPr="00773B6C" w:rsidRDefault="00E27E58" w:rsidP="00916E0D">
      <w:pPr>
        <w:pStyle w:val="ListParagraph"/>
        <w:numPr>
          <w:ilvl w:val="0"/>
          <w:numId w:val="46"/>
        </w:numPr>
        <w:spacing w:after="0" w:line="300" w:lineRule="atLeast"/>
        <w:ind w:left="426"/>
        <w:jc w:val="both"/>
        <w:rPr>
          <w:rFonts w:asciiTheme="minorHAnsi" w:hAnsiTheme="minorHAnsi"/>
          <w:sz w:val="20"/>
          <w:szCs w:val="20"/>
        </w:rPr>
      </w:pPr>
      <w:r>
        <w:rPr>
          <w:rFonts w:asciiTheme="minorHAnsi" w:hAnsiTheme="minorHAnsi"/>
          <w:sz w:val="20"/>
          <w:szCs w:val="20"/>
        </w:rPr>
        <w:t xml:space="preserve"> A concomitant threat to </w:t>
      </w:r>
      <w:r w:rsidR="00773B6C" w:rsidRPr="00773B6C">
        <w:rPr>
          <w:rFonts w:asciiTheme="minorHAnsi" w:hAnsiTheme="minorHAnsi"/>
          <w:sz w:val="20"/>
          <w:szCs w:val="20"/>
        </w:rPr>
        <w:t>the civil engineering sector, due to the much reduced Exchequer capital allocations for public infrastructure, including roads, water and wastewater services;</w:t>
      </w:r>
    </w:p>
    <w:p w14:paraId="12C29901" w14:textId="77777777" w:rsidR="00773B6C" w:rsidRPr="00773B6C" w:rsidRDefault="00773B6C" w:rsidP="00916E0D">
      <w:pPr>
        <w:spacing w:line="300" w:lineRule="atLeast"/>
        <w:ind w:left="426"/>
        <w:rPr>
          <w:sz w:val="20"/>
          <w:szCs w:val="20"/>
        </w:rPr>
      </w:pPr>
    </w:p>
    <w:p w14:paraId="4E746B18" w14:textId="29D4F024" w:rsidR="00773B6C" w:rsidRPr="00773B6C" w:rsidRDefault="00773B6C" w:rsidP="00916E0D">
      <w:pPr>
        <w:pStyle w:val="ListParagraph"/>
        <w:numPr>
          <w:ilvl w:val="0"/>
          <w:numId w:val="46"/>
        </w:numPr>
        <w:spacing w:after="0" w:line="300" w:lineRule="atLeast"/>
        <w:ind w:left="426"/>
        <w:jc w:val="both"/>
        <w:rPr>
          <w:rFonts w:asciiTheme="minorHAnsi" w:hAnsiTheme="minorHAnsi"/>
          <w:sz w:val="20"/>
          <w:szCs w:val="20"/>
        </w:rPr>
      </w:pPr>
      <w:r w:rsidRPr="00773B6C">
        <w:rPr>
          <w:rFonts w:asciiTheme="minorHAnsi" w:hAnsiTheme="minorHAnsi"/>
          <w:sz w:val="20"/>
          <w:szCs w:val="20"/>
        </w:rPr>
        <w:t>The sharp reduction in public capital investment during the financial crisis, which has exacerbated Ireland’s infrastructure deficit, not just in terms of housing, transport and water services, but also in health and education, with adverse consequences for the economic recovery and competitiveness</w:t>
      </w:r>
      <w:r>
        <w:rPr>
          <w:rFonts w:asciiTheme="minorHAnsi" w:hAnsiTheme="minorHAnsi"/>
          <w:sz w:val="20"/>
          <w:szCs w:val="20"/>
        </w:rPr>
        <w:t xml:space="preserve"> </w:t>
      </w:r>
      <w:r w:rsidRPr="00773B6C">
        <w:rPr>
          <w:rFonts w:asciiTheme="minorHAnsi" w:hAnsiTheme="minorHAnsi"/>
          <w:sz w:val="20"/>
          <w:szCs w:val="20"/>
        </w:rPr>
        <w:t>and our ability to attract foreign direct investment (FDI);</w:t>
      </w:r>
    </w:p>
    <w:p w14:paraId="633D463E" w14:textId="77777777" w:rsidR="00773B6C" w:rsidRPr="00773B6C" w:rsidRDefault="00773B6C" w:rsidP="00916E0D">
      <w:pPr>
        <w:spacing w:line="300" w:lineRule="atLeast"/>
        <w:ind w:left="426"/>
        <w:rPr>
          <w:sz w:val="20"/>
          <w:szCs w:val="20"/>
        </w:rPr>
      </w:pPr>
    </w:p>
    <w:p w14:paraId="40BCA026" w14:textId="77777777" w:rsidR="00773B6C" w:rsidRPr="00773B6C" w:rsidRDefault="00773B6C" w:rsidP="00916E0D">
      <w:pPr>
        <w:pStyle w:val="ListParagraph"/>
        <w:numPr>
          <w:ilvl w:val="0"/>
          <w:numId w:val="46"/>
        </w:numPr>
        <w:spacing w:after="0" w:line="300" w:lineRule="atLeast"/>
        <w:ind w:left="426"/>
        <w:jc w:val="both"/>
        <w:rPr>
          <w:rFonts w:asciiTheme="minorHAnsi" w:hAnsiTheme="minorHAnsi"/>
          <w:sz w:val="20"/>
          <w:szCs w:val="20"/>
        </w:rPr>
      </w:pPr>
      <w:r w:rsidRPr="00773B6C">
        <w:rPr>
          <w:rFonts w:asciiTheme="minorHAnsi" w:hAnsiTheme="minorHAnsi"/>
          <w:sz w:val="20"/>
          <w:szCs w:val="20"/>
        </w:rPr>
        <w:t>The differences between construction activity levels in Dublin and the rest of the country, which is generating capacity constraints in the Dublin region, while also delaying the economic rebalancing process;</w:t>
      </w:r>
    </w:p>
    <w:p w14:paraId="1F58B3AA" w14:textId="77777777" w:rsidR="00773B6C" w:rsidRPr="00773B6C" w:rsidRDefault="00773B6C" w:rsidP="00916E0D">
      <w:pPr>
        <w:spacing w:line="300" w:lineRule="atLeast"/>
        <w:ind w:left="426"/>
        <w:rPr>
          <w:sz w:val="20"/>
          <w:szCs w:val="20"/>
        </w:rPr>
      </w:pPr>
    </w:p>
    <w:p w14:paraId="28F13CC7" w14:textId="77777777" w:rsidR="00773B6C" w:rsidRPr="00773B6C" w:rsidRDefault="00773B6C" w:rsidP="00916E0D">
      <w:pPr>
        <w:pStyle w:val="ListParagraph"/>
        <w:numPr>
          <w:ilvl w:val="0"/>
          <w:numId w:val="46"/>
        </w:numPr>
        <w:spacing w:after="0" w:line="300" w:lineRule="atLeast"/>
        <w:ind w:left="426"/>
        <w:jc w:val="both"/>
        <w:rPr>
          <w:rFonts w:asciiTheme="minorHAnsi" w:hAnsiTheme="minorHAnsi"/>
          <w:sz w:val="20"/>
          <w:szCs w:val="20"/>
        </w:rPr>
      </w:pPr>
      <w:r w:rsidRPr="00773B6C">
        <w:rPr>
          <w:rFonts w:asciiTheme="minorHAnsi" w:hAnsiTheme="minorHAnsi"/>
          <w:sz w:val="20"/>
          <w:szCs w:val="20"/>
        </w:rPr>
        <w:t xml:space="preserve">The implications for residential and non-residential projects which are unable to proceed due to the lack of investment in roads, water and wastewater services over the past decade. </w:t>
      </w:r>
    </w:p>
    <w:p w14:paraId="49B564BA" w14:textId="77777777" w:rsidR="00773B6C" w:rsidRPr="00773B6C" w:rsidRDefault="00773B6C" w:rsidP="00916E0D">
      <w:pPr>
        <w:spacing w:line="300" w:lineRule="atLeast"/>
        <w:rPr>
          <w:sz w:val="20"/>
          <w:szCs w:val="20"/>
        </w:rPr>
      </w:pPr>
    </w:p>
    <w:p w14:paraId="4E36E416" w14:textId="77777777" w:rsidR="00E27E58" w:rsidRPr="00773B6C" w:rsidRDefault="00E27E58" w:rsidP="00916E0D">
      <w:pPr>
        <w:spacing w:line="300" w:lineRule="atLeast"/>
        <w:rPr>
          <w:b/>
          <w:color w:val="005596"/>
          <w:sz w:val="20"/>
          <w:szCs w:val="20"/>
        </w:rPr>
      </w:pPr>
      <w:r w:rsidRPr="00773B6C">
        <w:rPr>
          <w:b/>
          <w:color w:val="005596"/>
          <w:sz w:val="20"/>
          <w:szCs w:val="20"/>
        </w:rPr>
        <w:t xml:space="preserve">Investment in Ireland’s infrastructure has been neglected since the financial crisis </w:t>
      </w:r>
    </w:p>
    <w:p w14:paraId="2AD904EC" w14:textId="77777777" w:rsidR="00E27E58" w:rsidRPr="00773B6C" w:rsidRDefault="00E27E58" w:rsidP="00916E0D">
      <w:pPr>
        <w:spacing w:line="300" w:lineRule="atLeast"/>
        <w:rPr>
          <w:sz w:val="20"/>
          <w:szCs w:val="20"/>
        </w:rPr>
      </w:pPr>
      <w:r w:rsidRPr="00773B6C">
        <w:rPr>
          <w:sz w:val="20"/>
          <w:szCs w:val="20"/>
        </w:rPr>
        <w:t xml:space="preserve">The economy is growing at a solid pace, and the quantity and quality of infrastructure delivered by the construction industry will play an important role in that economic recovery. However, investment in Ireland’s infrastructure has suffered since the onset of the financial crisis. The level of Exchequer capital investment fell to less than 2 per cent of GNP in 2015/2016, from 5.6 per cent in 2008, and is projected at just 2 per cent of GNP in 2017. This has led many stakeholders to call for an increased level of public capital investment in infrastructure to sustain the economic recovery which has been underway since 2014. </w:t>
      </w:r>
    </w:p>
    <w:p w14:paraId="629E9EE9" w14:textId="77777777" w:rsidR="00E27E58" w:rsidRPr="00773B6C" w:rsidRDefault="00E27E58" w:rsidP="00916E0D">
      <w:pPr>
        <w:spacing w:line="300" w:lineRule="atLeast"/>
        <w:rPr>
          <w:sz w:val="20"/>
          <w:szCs w:val="20"/>
        </w:rPr>
      </w:pPr>
    </w:p>
    <w:p w14:paraId="7A432DED" w14:textId="77777777" w:rsidR="00E27E58" w:rsidRPr="00773B6C" w:rsidRDefault="00E27E58" w:rsidP="00916E0D">
      <w:pPr>
        <w:spacing w:line="300" w:lineRule="atLeast"/>
        <w:rPr>
          <w:i/>
          <w:sz w:val="20"/>
          <w:szCs w:val="20"/>
        </w:rPr>
      </w:pPr>
      <w:r w:rsidRPr="00773B6C">
        <w:rPr>
          <w:sz w:val="20"/>
          <w:szCs w:val="20"/>
        </w:rPr>
        <w:t xml:space="preserve">To begin with the Taoiseach, Enda Kenny, </w:t>
      </w:r>
      <w:r w:rsidRPr="00773B6C">
        <w:rPr>
          <w:rFonts w:cs="Arial"/>
          <w:color w:val="000000"/>
          <w:sz w:val="20"/>
          <w:szCs w:val="20"/>
        </w:rPr>
        <w:t>stated that</w:t>
      </w:r>
      <w:r w:rsidRPr="00773B6C">
        <w:rPr>
          <w:rFonts w:cs="Arial"/>
          <w:i/>
          <w:color w:val="000000"/>
          <w:sz w:val="20"/>
          <w:szCs w:val="20"/>
        </w:rPr>
        <w:t xml:space="preserve"> “the importance of infrastructure investment is recognised in the Programme for Government. This is reflected in the inclusion of €5 billion of additional capital expenditure in the period to 2021 which is over and above the €27 billion Exchequer capital investment provided for in the Capital Plan published last year.”</w:t>
      </w:r>
    </w:p>
    <w:p w14:paraId="7E45E2C4" w14:textId="77777777" w:rsidR="00E27E58" w:rsidRPr="00773B6C" w:rsidRDefault="00E27E58" w:rsidP="00916E0D">
      <w:pPr>
        <w:spacing w:line="300" w:lineRule="atLeast"/>
        <w:rPr>
          <w:sz w:val="20"/>
          <w:szCs w:val="20"/>
        </w:rPr>
      </w:pPr>
    </w:p>
    <w:p w14:paraId="5A197B34" w14:textId="77777777" w:rsidR="00E27E58" w:rsidRPr="00773B6C" w:rsidRDefault="00E27E58" w:rsidP="00916E0D">
      <w:pPr>
        <w:pStyle w:val="DKMBodyText"/>
        <w:spacing w:line="300" w:lineRule="atLeast"/>
        <w:rPr>
          <w:rFonts w:asciiTheme="minorHAnsi" w:hAnsiTheme="minorHAnsi"/>
          <w:i/>
          <w:sz w:val="20"/>
          <w:szCs w:val="20"/>
        </w:rPr>
      </w:pPr>
      <w:r w:rsidRPr="00773B6C">
        <w:rPr>
          <w:rFonts w:asciiTheme="minorHAnsi" w:hAnsiTheme="minorHAnsi"/>
          <w:sz w:val="20"/>
          <w:szCs w:val="20"/>
        </w:rPr>
        <w:t xml:space="preserve">The National Competitiveness Council has stated that: </w:t>
      </w:r>
      <w:r w:rsidRPr="00773B6C">
        <w:rPr>
          <w:rFonts w:asciiTheme="minorHAnsi" w:hAnsiTheme="minorHAnsi"/>
          <w:i/>
          <w:sz w:val="20"/>
          <w:szCs w:val="20"/>
        </w:rPr>
        <w:t xml:space="preserve">“Economic growth, demographic pressures and a sustained period of underinvestment in infrastructure mean there is a manifest and urgent need to increase investment in essential economic infrastructures”. </w:t>
      </w:r>
      <w:r w:rsidRPr="00773B6C">
        <w:rPr>
          <w:rFonts w:asciiTheme="minorHAnsi" w:hAnsiTheme="minorHAnsi"/>
          <w:sz w:val="20"/>
          <w:szCs w:val="20"/>
        </w:rPr>
        <w:t>It further acknowledges that the scope to improve the infrastructure stock</w:t>
      </w:r>
      <w:r w:rsidRPr="00773B6C">
        <w:rPr>
          <w:rFonts w:asciiTheme="minorHAnsi" w:hAnsiTheme="minorHAnsi"/>
          <w:i/>
          <w:sz w:val="20"/>
          <w:szCs w:val="20"/>
        </w:rPr>
        <w:t xml:space="preserve"> “must be guided by adequate levels of investment and by identifying and prioritising those investments which contribute most to Ireland’s long term competitiveness”, </w:t>
      </w:r>
      <w:r w:rsidRPr="00773B6C">
        <w:rPr>
          <w:rFonts w:asciiTheme="minorHAnsi" w:hAnsiTheme="minorHAnsi"/>
          <w:sz w:val="20"/>
          <w:szCs w:val="20"/>
        </w:rPr>
        <w:t>while also addressing</w:t>
      </w:r>
      <w:r w:rsidRPr="00773B6C">
        <w:rPr>
          <w:rFonts w:asciiTheme="minorHAnsi" w:hAnsiTheme="minorHAnsi"/>
          <w:i/>
          <w:sz w:val="20"/>
          <w:szCs w:val="20"/>
        </w:rPr>
        <w:t xml:space="preserve"> “enterprise needs and bottlenecks.”</w:t>
      </w:r>
      <w:r w:rsidRPr="00773B6C">
        <w:rPr>
          <w:rStyle w:val="FootnoteReference"/>
          <w:rFonts w:asciiTheme="minorHAnsi" w:hAnsiTheme="minorHAnsi"/>
          <w:i/>
          <w:sz w:val="20"/>
          <w:szCs w:val="20"/>
        </w:rPr>
        <w:footnoteReference w:id="1"/>
      </w:r>
    </w:p>
    <w:p w14:paraId="1E98596D" w14:textId="77777777" w:rsidR="00E27E58" w:rsidRPr="00773B6C" w:rsidRDefault="00E27E58" w:rsidP="00916E0D">
      <w:pPr>
        <w:pStyle w:val="DKMBodyText"/>
        <w:spacing w:line="300" w:lineRule="atLeast"/>
        <w:rPr>
          <w:rFonts w:asciiTheme="minorHAnsi" w:hAnsiTheme="minorHAnsi"/>
          <w:sz w:val="20"/>
          <w:szCs w:val="20"/>
        </w:rPr>
      </w:pPr>
    </w:p>
    <w:p w14:paraId="55AB74C7" w14:textId="4786AB78" w:rsidR="00E27E58" w:rsidRDefault="00E27E58" w:rsidP="00916E0D">
      <w:pPr>
        <w:pStyle w:val="DKMBodyText"/>
        <w:spacing w:line="300" w:lineRule="atLeast"/>
        <w:rPr>
          <w:rFonts w:asciiTheme="minorHAnsi" w:hAnsiTheme="minorHAnsi"/>
          <w:i/>
          <w:sz w:val="20"/>
          <w:szCs w:val="20"/>
          <w:shd w:val="clear" w:color="auto" w:fill="FFFFFF"/>
        </w:rPr>
      </w:pPr>
      <w:r w:rsidRPr="00773B6C">
        <w:rPr>
          <w:rFonts w:asciiTheme="minorHAnsi" w:hAnsiTheme="minorHAnsi"/>
          <w:sz w:val="20"/>
          <w:szCs w:val="20"/>
        </w:rPr>
        <w:t xml:space="preserve">The Vice President of the European Investment Bank, Mr. Andrew McDowell, stated in 2016 that </w:t>
      </w:r>
      <w:r w:rsidRPr="00773B6C">
        <w:rPr>
          <w:rFonts w:asciiTheme="minorHAnsi" w:hAnsiTheme="minorHAnsi"/>
          <w:i/>
          <w:sz w:val="20"/>
          <w:szCs w:val="20"/>
        </w:rPr>
        <w:t>“Few places justify enhanced support for infrastructure investment as much as Ireland. The strength of the Irish recovery has highlighted significant planning and infrastructure bottlenecks, including but not limited to transport, housing, water and broadband, which threaten to hold back both the continued pace of the recovery and its regional impact.”</w:t>
      </w:r>
      <w:r w:rsidRPr="00773B6C">
        <w:rPr>
          <w:rStyle w:val="FootnoteReference"/>
          <w:rFonts w:asciiTheme="minorHAnsi" w:hAnsiTheme="minorHAnsi"/>
          <w:i/>
          <w:sz w:val="20"/>
          <w:szCs w:val="20"/>
        </w:rPr>
        <w:footnoteReference w:id="2"/>
      </w:r>
      <w:r w:rsidRPr="00773B6C">
        <w:rPr>
          <w:rFonts w:asciiTheme="minorHAnsi" w:hAnsiTheme="minorHAnsi"/>
          <w:i/>
          <w:sz w:val="20"/>
          <w:szCs w:val="20"/>
        </w:rPr>
        <w:t xml:space="preserve"> </w:t>
      </w:r>
      <w:r w:rsidRPr="00773B6C">
        <w:rPr>
          <w:rFonts w:asciiTheme="minorHAnsi" w:hAnsiTheme="minorHAnsi"/>
          <w:sz w:val="20"/>
          <w:szCs w:val="20"/>
        </w:rPr>
        <w:t>Mr. McDowell has also stated that</w:t>
      </w:r>
      <w:r w:rsidRPr="00773B6C">
        <w:rPr>
          <w:rFonts w:asciiTheme="minorHAnsi" w:hAnsiTheme="minorHAnsi"/>
          <w:i/>
          <w:sz w:val="20"/>
          <w:szCs w:val="20"/>
        </w:rPr>
        <w:t xml:space="preserve"> </w:t>
      </w:r>
      <w:r w:rsidRPr="00773B6C">
        <w:rPr>
          <w:rFonts w:asciiTheme="minorHAnsi" w:hAnsiTheme="minorHAnsi"/>
          <w:color w:val="444444"/>
          <w:sz w:val="20"/>
          <w:szCs w:val="20"/>
          <w:shd w:val="clear" w:color="auto" w:fill="FFFFFF"/>
        </w:rPr>
        <w:t>“</w:t>
      </w:r>
      <w:r w:rsidRPr="00773B6C">
        <w:rPr>
          <w:rFonts w:asciiTheme="minorHAnsi" w:hAnsiTheme="minorHAnsi"/>
          <w:i/>
          <w:sz w:val="20"/>
          <w:szCs w:val="20"/>
          <w:shd w:val="clear" w:color="auto" w:fill="FFFFFF"/>
        </w:rPr>
        <w:t>Notwithstanding the evident infrastructure gaps and other pent-up investment requirements, total EIB exposure to Ireland remains, as a percentage of GDP, below the EU average”.</w:t>
      </w:r>
    </w:p>
    <w:p w14:paraId="146CFB7B" w14:textId="5D0A2A9B" w:rsidR="00E27E58" w:rsidRDefault="00E27E58" w:rsidP="00916E0D">
      <w:pPr>
        <w:pStyle w:val="DKMBodyText"/>
        <w:spacing w:line="300" w:lineRule="atLeast"/>
        <w:rPr>
          <w:rFonts w:asciiTheme="minorHAnsi" w:hAnsiTheme="minorHAnsi"/>
          <w:i/>
          <w:sz w:val="20"/>
          <w:szCs w:val="20"/>
          <w:shd w:val="clear" w:color="auto" w:fill="FFFFFF"/>
        </w:rPr>
      </w:pPr>
    </w:p>
    <w:p w14:paraId="77EB6E17" w14:textId="77777777" w:rsidR="00E27E58" w:rsidRPr="00773B6C" w:rsidRDefault="00E27E58" w:rsidP="00916E0D">
      <w:pPr>
        <w:spacing w:line="300" w:lineRule="atLeast"/>
        <w:rPr>
          <w:sz w:val="20"/>
          <w:szCs w:val="20"/>
        </w:rPr>
      </w:pPr>
      <w:r w:rsidRPr="00773B6C">
        <w:rPr>
          <w:b/>
          <w:color w:val="005596"/>
          <w:sz w:val="20"/>
          <w:szCs w:val="20"/>
        </w:rPr>
        <w:t xml:space="preserve">Ireland </w:t>
      </w:r>
      <w:r>
        <w:rPr>
          <w:b/>
          <w:color w:val="005596"/>
          <w:sz w:val="20"/>
          <w:szCs w:val="20"/>
        </w:rPr>
        <w:t>at</w:t>
      </w:r>
      <w:r w:rsidRPr="00773B6C">
        <w:rPr>
          <w:b/>
          <w:color w:val="005596"/>
          <w:sz w:val="20"/>
          <w:szCs w:val="20"/>
        </w:rPr>
        <w:t xml:space="preserve"> bottom of the European league when it comes to public capital investment</w:t>
      </w:r>
      <w:r w:rsidRPr="00773B6C">
        <w:rPr>
          <w:sz w:val="20"/>
          <w:szCs w:val="20"/>
        </w:rPr>
        <w:t xml:space="preserve">  </w:t>
      </w:r>
    </w:p>
    <w:p w14:paraId="1DEB6291" w14:textId="77777777" w:rsidR="00E27E58" w:rsidRPr="00773B6C" w:rsidRDefault="00E27E58" w:rsidP="00916E0D">
      <w:pPr>
        <w:spacing w:line="300" w:lineRule="atLeast"/>
        <w:rPr>
          <w:sz w:val="20"/>
          <w:szCs w:val="20"/>
        </w:rPr>
      </w:pPr>
      <w:r w:rsidRPr="00773B6C">
        <w:rPr>
          <w:sz w:val="20"/>
          <w:szCs w:val="20"/>
        </w:rPr>
        <w:t>Notwithstanding the uncertainties with regard to Ireland’s GDP as a measure of economic output, Ireland spends the lowest amount on exchequer capital investment as a percentage of GDP.  Figure 3.2 (p2</w:t>
      </w:r>
      <w:r>
        <w:rPr>
          <w:sz w:val="20"/>
          <w:szCs w:val="20"/>
        </w:rPr>
        <w:t>2</w:t>
      </w:r>
      <w:r w:rsidRPr="00773B6C">
        <w:rPr>
          <w:sz w:val="20"/>
          <w:szCs w:val="20"/>
        </w:rPr>
        <w:t>) shows that Ireland was bottom of the European league in 2015 in terms of the rate of general government fixed investment as a percentage of GDP. The Eastern European countries were predominantly at the top of the chart. Unless the existing bottlenecks</w:t>
      </w:r>
      <w:r w:rsidRPr="00773B6C">
        <w:rPr>
          <w:rStyle w:val="CommentReference"/>
          <w:sz w:val="20"/>
          <w:szCs w:val="20"/>
        </w:rPr>
        <w:t xml:space="preserve">, as discussed in this report, </w:t>
      </w:r>
      <w:r w:rsidRPr="00773B6C">
        <w:rPr>
          <w:sz w:val="20"/>
          <w:szCs w:val="20"/>
        </w:rPr>
        <w:t xml:space="preserve">are addressed, costs in the economy will increase and the potential for investment and jobs by the indigenous enterprise sector and multinationals will be dampened. The option to just ‘do minimum’ when it comes to investing in public infrastructure is not a sustainable option. </w:t>
      </w:r>
    </w:p>
    <w:p w14:paraId="6A31120A" w14:textId="77777777" w:rsidR="00E27E58" w:rsidRPr="00773B6C" w:rsidRDefault="00E27E58" w:rsidP="00916E0D">
      <w:pPr>
        <w:spacing w:line="300" w:lineRule="atLeast"/>
        <w:rPr>
          <w:sz w:val="20"/>
          <w:szCs w:val="20"/>
        </w:rPr>
      </w:pPr>
    </w:p>
    <w:p w14:paraId="778E00C4" w14:textId="77777777" w:rsidR="00E27E58" w:rsidRDefault="00E27E58" w:rsidP="00916E0D">
      <w:pPr>
        <w:spacing w:line="300" w:lineRule="atLeast"/>
        <w:rPr>
          <w:sz w:val="20"/>
          <w:szCs w:val="20"/>
        </w:rPr>
      </w:pPr>
      <w:r w:rsidRPr="00773B6C">
        <w:rPr>
          <w:sz w:val="20"/>
          <w:szCs w:val="20"/>
        </w:rPr>
        <w:t>Investment in infrastructure is essential to sustaining the economic recovery and competitiveness. The quality of infrastructure is a key prerequisite for an economy to function efficiently and effectively.</w:t>
      </w:r>
    </w:p>
    <w:p w14:paraId="1DC05811" w14:textId="77777777" w:rsidR="00E27E58" w:rsidRPr="00773B6C" w:rsidRDefault="00E27E58" w:rsidP="00916E0D">
      <w:pPr>
        <w:spacing w:line="300" w:lineRule="atLeast"/>
        <w:rPr>
          <w:sz w:val="20"/>
          <w:szCs w:val="20"/>
        </w:rPr>
      </w:pPr>
      <w:r w:rsidRPr="00773B6C">
        <w:rPr>
          <w:sz w:val="20"/>
          <w:szCs w:val="20"/>
        </w:rPr>
        <w:t xml:space="preserve"> </w:t>
      </w:r>
    </w:p>
    <w:p w14:paraId="76FF3733" w14:textId="77777777" w:rsidR="00E27E58" w:rsidRPr="00773B6C" w:rsidRDefault="00E27E58" w:rsidP="00916E0D">
      <w:pPr>
        <w:autoSpaceDE w:val="0"/>
        <w:autoSpaceDN w:val="0"/>
        <w:adjustRightInd w:val="0"/>
        <w:spacing w:line="300" w:lineRule="atLeast"/>
        <w:rPr>
          <w:sz w:val="20"/>
          <w:szCs w:val="20"/>
        </w:rPr>
      </w:pPr>
      <w:r w:rsidRPr="00773B6C">
        <w:rPr>
          <w:sz w:val="20"/>
          <w:szCs w:val="20"/>
        </w:rPr>
        <w:t xml:space="preserve">The </w:t>
      </w:r>
      <w:r w:rsidRPr="00773B6C">
        <w:rPr>
          <w:i/>
          <w:sz w:val="20"/>
          <w:szCs w:val="20"/>
        </w:rPr>
        <w:t xml:space="preserve">Capital Plan </w:t>
      </w:r>
      <w:r w:rsidRPr="00773B6C">
        <w:rPr>
          <w:sz w:val="20"/>
          <w:szCs w:val="20"/>
        </w:rPr>
        <w:t xml:space="preserve">allocated €27 billion of Exchequer funding to gross voted capital expenditure over the period 2016-2021 </w:t>
      </w:r>
      <w:r w:rsidRPr="00773B6C">
        <w:rPr>
          <w:rFonts w:cs="Arial"/>
          <w:sz w:val="20"/>
          <w:szCs w:val="20"/>
        </w:rPr>
        <w:t>(€4.5 billion on average per year).</w:t>
      </w:r>
      <w:r w:rsidRPr="00773B6C">
        <w:rPr>
          <w:sz w:val="20"/>
          <w:szCs w:val="20"/>
        </w:rPr>
        <w:t xml:space="preserve">  Budget 2017 allocated an extra €6.66 billion between 2017 and 2021 over and above the corresponding figures in the Capital Plan.</w:t>
      </w:r>
      <w:r w:rsidRPr="00773B6C">
        <w:rPr>
          <w:rStyle w:val="FootnoteReference"/>
          <w:sz w:val="20"/>
          <w:szCs w:val="20"/>
        </w:rPr>
        <w:t xml:space="preserve"> </w:t>
      </w:r>
      <w:r w:rsidRPr="00773B6C">
        <w:rPr>
          <w:sz w:val="20"/>
          <w:szCs w:val="20"/>
        </w:rPr>
        <w:t xml:space="preserve">However there is some inconsistency between </w:t>
      </w:r>
      <w:r w:rsidRPr="00773B6C">
        <w:rPr>
          <w:rFonts w:cs="HelveticaNeue-Light"/>
          <w:sz w:val="20"/>
          <w:szCs w:val="20"/>
        </w:rPr>
        <w:t>the Summer Economic Statement, which indicates that an additional €5.14 billion is to be allocated to capital expenditure in the period 2017-2021</w:t>
      </w:r>
      <w:r w:rsidRPr="00773B6C">
        <w:rPr>
          <w:rStyle w:val="FootnoteReference"/>
          <w:rFonts w:cs="HelveticaNeue-Light"/>
          <w:sz w:val="20"/>
          <w:szCs w:val="20"/>
        </w:rPr>
        <w:footnoteReference w:id="3"/>
      </w:r>
      <w:r w:rsidRPr="00773B6C">
        <w:rPr>
          <w:rFonts w:cs="HelveticaNeue-Light"/>
          <w:sz w:val="20"/>
          <w:szCs w:val="20"/>
        </w:rPr>
        <w:t xml:space="preserve">. </w:t>
      </w:r>
      <w:r w:rsidRPr="00773B6C">
        <w:rPr>
          <w:sz w:val="20"/>
          <w:szCs w:val="20"/>
        </w:rPr>
        <w:t xml:space="preserve"> Of this figure, €2.2 billion has already been all</w:t>
      </w:r>
      <w:r>
        <w:rPr>
          <w:sz w:val="20"/>
          <w:szCs w:val="20"/>
        </w:rPr>
        <w:t>ocated to housing, leaving</w:t>
      </w:r>
      <w:r w:rsidRPr="00773B6C">
        <w:rPr>
          <w:sz w:val="20"/>
          <w:szCs w:val="20"/>
        </w:rPr>
        <w:t xml:space="preserve"> €2.65 billion to be allocated </w:t>
      </w:r>
      <w:r>
        <w:rPr>
          <w:sz w:val="20"/>
          <w:szCs w:val="20"/>
        </w:rPr>
        <w:t xml:space="preserve">to new projects </w:t>
      </w:r>
      <w:r w:rsidRPr="00773B6C">
        <w:rPr>
          <w:sz w:val="20"/>
          <w:szCs w:val="20"/>
        </w:rPr>
        <w:t>in the mid-term review of the Capital Plan.</w:t>
      </w:r>
    </w:p>
    <w:p w14:paraId="37F5941E" w14:textId="77777777" w:rsidR="00E27E58" w:rsidRPr="00773B6C" w:rsidRDefault="00E27E58" w:rsidP="00916E0D">
      <w:pPr>
        <w:spacing w:line="300" w:lineRule="atLeast"/>
        <w:rPr>
          <w:sz w:val="20"/>
          <w:szCs w:val="20"/>
        </w:rPr>
      </w:pPr>
    </w:p>
    <w:p w14:paraId="63400EA6" w14:textId="77777777" w:rsidR="00E27E58" w:rsidRPr="00773B6C" w:rsidRDefault="00E27E58" w:rsidP="00916E0D">
      <w:pPr>
        <w:spacing w:line="300" w:lineRule="atLeast"/>
        <w:rPr>
          <w:sz w:val="20"/>
          <w:szCs w:val="20"/>
        </w:rPr>
      </w:pPr>
      <w:r>
        <w:rPr>
          <w:sz w:val="20"/>
          <w:szCs w:val="20"/>
        </w:rPr>
        <w:t>This</w:t>
      </w:r>
      <w:r w:rsidRPr="00773B6C">
        <w:rPr>
          <w:sz w:val="20"/>
          <w:szCs w:val="20"/>
        </w:rPr>
        <w:t xml:space="preserve"> submission calls on Government to recognise that investment in the State’s infrastructure has been neglected over the past decade, and that substantial investment is needed urgently to sustain the economic recovery and cater for our expanding population. The onus is on Government to examine all possible avenues to address Ireland’s infrastructure deficit, and prioritise investment where there are immediate bottlenecks (which are elaborated on in this submission), in the review of the Capital Plan, given the long lead in time to construction projects. The CIF acknowledges the constraints which are imposed by the fiscal rules but recommends that the current rules be used to Ireland’s advantage. The recommendations below set out potential areas which should be explored as a means </w:t>
      </w:r>
      <w:r>
        <w:rPr>
          <w:sz w:val="20"/>
          <w:szCs w:val="20"/>
        </w:rPr>
        <w:t>of</w:t>
      </w:r>
      <w:r w:rsidRPr="00773B6C">
        <w:rPr>
          <w:sz w:val="20"/>
          <w:szCs w:val="20"/>
        </w:rPr>
        <w:t xml:space="preserve"> increasing the funding available for public infrastructure over the medium-term. </w:t>
      </w:r>
    </w:p>
    <w:p w14:paraId="2B7EE8A6" w14:textId="77777777" w:rsidR="00E27E58" w:rsidRPr="00773B6C" w:rsidRDefault="00E27E58" w:rsidP="00916E0D">
      <w:pPr>
        <w:spacing w:line="300" w:lineRule="atLeast"/>
        <w:rPr>
          <w:sz w:val="20"/>
          <w:szCs w:val="20"/>
        </w:rPr>
      </w:pPr>
    </w:p>
    <w:p w14:paraId="3EAFE2D3" w14:textId="77777777" w:rsidR="00E27E58" w:rsidRPr="00773B6C" w:rsidRDefault="00E27E58" w:rsidP="00916E0D">
      <w:pPr>
        <w:autoSpaceDE w:val="0"/>
        <w:autoSpaceDN w:val="0"/>
        <w:adjustRightInd w:val="0"/>
        <w:spacing w:line="300" w:lineRule="atLeast"/>
        <w:rPr>
          <w:rFonts w:cs="Arial"/>
          <w:color w:val="000000"/>
          <w:sz w:val="20"/>
          <w:szCs w:val="20"/>
          <w:shd w:val="clear" w:color="auto" w:fill="FFFFFF"/>
        </w:rPr>
      </w:pPr>
      <w:r w:rsidRPr="00773B6C">
        <w:rPr>
          <w:sz w:val="20"/>
          <w:szCs w:val="20"/>
        </w:rPr>
        <w:t xml:space="preserve">Indeed Professor Alan Barrett of the ESRI told the Committee on Budgetary Oversight in September 2016 that </w:t>
      </w:r>
      <w:r w:rsidRPr="00773B6C">
        <w:rPr>
          <w:rStyle w:val="apple-converted-space"/>
          <w:rFonts w:cs="Arial"/>
          <w:color w:val="000000"/>
          <w:sz w:val="20"/>
          <w:szCs w:val="20"/>
          <w:shd w:val="clear" w:color="auto" w:fill="FFFFFF"/>
        </w:rPr>
        <w:t>“</w:t>
      </w:r>
      <w:r w:rsidRPr="00773B6C">
        <w:rPr>
          <w:rFonts w:cs="Arial"/>
          <w:i/>
          <w:color w:val="000000"/>
          <w:sz w:val="20"/>
          <w:szCs w:val="20"/>
          <w:shd w:val="clear" w:color="auto" w:fill="FFFFFF"/>
        </w:rPr>
        <w:t>Fiscal rules should not be so ridiculous that if there are expenditures that would genuinely add to the productive capacity of the economy, they should not be reflected in the scope we have to invest in capital</w:t>
      </w:r>
      <w:r w:rsidRPr="00773B6C">
        <w:rPr>
          <w:rFonts w:cs="Arial"/>
          <w:color w:val="000000"/>
          <w:sz w:val="20"/>
          <w:szCs w:val="20"/>
          <w:shd w:val="clear" w:color="auto" w:fill="FFFFFF"/>
        </w:rPr>
        <w:t>.” He also said: “</w:t>
      </w:r>
      <w:r w:rsidRPr="00773B6C">
        <w:rPr>
          <w:rFonts w:cs="Arial"/>
          <w:i/>
          <w:color w:val="000000"/>
          <w:sz w:val="20"/>
          <w:szCs w:val="20"/>
          <w:shd w:val="clear" w:color="auto" w:fill="FFFFFF"/>
        </w:rPr>
        <w:t>From an economics perspective, the notion of borrowing for productive purposes is in no way controversial. It is exactly what one should be doing, especially when interest rates are where they are now</w:t>
      </w:r>
      <w:r w:rsidRPr="00773B6C">
        <w:rPr>
          <w:rFonts w:cs="Arial"/>
          <w:color w:val="000000"/>
          <w:sz w:val="20"/>
          <w:szCs w:val="20"/>
          <w:shd w:val="clear" w:color="auto" w:fill="FFFFFF"/>
        </w:rPr>
        <w:t>”.</w:t>
      </w:r>
      <w:r w:rsidRPr="00773B6C">
        <w:rPr>
          <w:rStyle w:val="FootnoteReference"/>
          <w:rFonts w:cs="Arial"/>
          <w:color w:val="000000"/>
          <w:sz w:val="20"/>
          <w:szCs w:val="20"/>
          <w:shd w:val="clear" w:color="auto" w:fill="FFFFFF"/>
        </w:rPr>
        <w:footnoteReference w:id="4"/>
      </w:r>
    </w:p>
    <w:p w14:paraId="2677BFD2" w14:textId="77777777" w:rsidR="00E27E58" w:rsidRDefault="00E27E58" w:rsidP="00916E0D">
      <w:pPr>
        <w:spacing w:line="300" w:lineRule="atLeast"/>
        <w:rPr>
          <w:b/>
          <w:color w:val="005596"/>
          <w:sz w:val="20"/>
          <w:szCs w:val="20"/>
        </w:rPr>
      </w:pPr>
    </w:p>
    <w:p w14:paraId="4EE60385" w14:textId="10E20800" w:rsidR="00773B6C" w:rsidRPr="00773B6C" w:rsidRDefault="00773B6C" w:rsidP="00916E0D">
      <w:pPr>
        <w:spacing w:line="300" w:lineRule="atLeast"/>
        <w:rPr>
          <w:b/>
          <w:color w:val="005596"/>
          <w:sz w:val="20"/>
          <w:szCs w:val="20"/>
        </w:rPr>
      </w:pPr>
      <w:r w:rsidRPr="00773B6C">
        <w:rPr>
          <w:b/>
          <w:color w:val="005596"/>
          <w:sz w:val="20"/>
          <w:szCs w:val="20"/>
        </w:rPr>
        <w:t xml:space="preserve">The </w:t>
      </w:r>
      <w:r w:rsidR="00E27E58">
        <w:rPr>
          <w:b/>
          <w:color w:val="005596"/>
          <w:sz w:val="20"/>
          <w:szCs w:val="20"/>
        </w:rPr>
        <w:t xml:space="preserve">resultant </w:t>
      </w:r>
      <w:r w:rsidRPr="00773B6C">
        <w:rPr>
          <w:b/>
          <w:color w:val="005596"/>
          <w:sz w:val="20"/>
          <w:szCs w:val="20"/>
        </w:rPr>
        <w:t xml:space="preserve">crisis in the civil engineering sector </w:t>
      </w:r>
    </w:p>
    <w:p w14:paraId="6921D7E3" w14:textId="47DB70EE" w:rsidR="00773B6C" w:rsidRDefault="00773B6C" w:rsidP="00916E0D">
      <w:pPr>
        <w:spacing w:line="300" w:lineRule="atLeast"/>
        <w:rPr>
          <w:sz w:val="20"/>
          <w:szCs w:val="20"/>
        </w:rPr>
      </w:pPr>
      <w:r w:rsidRPr="00773B6C">
        <w:rPr>
          <w:sz w:val="20"/>
          <w:szCs w:val="20"/>
        </w:rPr>
        <w:t xml:space="preserve">Civil engineering projects are predominantly funded by the public sector. The absence of new public infrastructure projects on any significant scale in recent years has led to a crisis in the sector. While some of the larger players can internationalise, many Irish civil engineering firms are reliant on a pipeline of medium-sized public sector infrastructure projects. However, investment levels in water infrastructure have been poor, reflecting Irish Water’s continued dependence on government funding. Moreover, with the bulk of the investment in roads (c.73%) in the Capital Plan 2016-2021, projected to represent </w:t>
      </w:r>
      <w:r>
        <w:rPr>
          <w:sz w:val="20"/>
          <w:szCs w:val="20"/>
        </w:rPr>
        <w:t>‘</w:t>
      </w:r>
      <w:r w:rsidRPr="00773B6C">
        <w:rPr>
          <w:sz w:val="20"/>
          <w:szCs w:val="20"/>
        </w:rPr>
        <w:t>steady state</w:t>
      </w:r>
      <w:r>
        <w:rPr>
          <w:sz w:val="20"/>
          <w:szCs w:val="20"/>
        </w:rPr>
        <w:t>’</w:t>
      </w:r>
      <w:r w:rsidRPr="00773B6C">
        <w:rPr>
          <w:sz w:val="20"/>
          <w:szCs w:val="20"/>
        </w:rPr>
        <w:t xml:space="preserve"> investment in maintenance and renewal of the road network, there is </w:t>
      </w:r>
      <w:r>
        <w:rPr>
          <w:sz w:val="20"/>
          <w:szCs w:val="20"/>
        </w:rPr>
        <w:t xml:space="preserve">likely to be </w:t>
      </w:r>
      <w:r w:rsidRPr="00773B6C">
        <w:rPr>
          <w:sz w:val="20"/>
          <w:szCs w:val="20"/>
        </w:rPr>
        <w:t xml:space="preserve">limited scope for investment in new road projects. It is noteworthy that civil engineering has consistently remained an area of weakness in the Ulster Bank PMI, lagging behind the other sectors. Yet there is little or no inflation in civil engineering, indicating that now is a good time </w:t>
      </w:r>
      <w:r w:rsidR="00E27E58">
        <w:rPr>
          <w:sz w:val="20"/>
          <w:szCs w:val="20"/>
        </w:rPr>
        <w:t xml:space="preserve">for the State </w:t>
      </w:r>
      <w:r w:rsidRPr="00773B6C">
        <w:rPr>
          <w:sz w:val="20"/>
          <w:szCs w:val="20"/>
        </w:rPr>
        <w:t xml:space="preserve">to invest in civil engineering projects. </w:t>
      </w:r>
    </w:p>
    <w:p w14:paraId="5263FFBF" w14:textId="77777777" w:rsidR="00773B6C" w:rsidRDefault="00773B6C" w:rsidP="00916E0D">
      <w:pPr>
        <w:spacing w:line="240" w:lineRule="auto"/>
        <w:rPr>
          <w:sz w:val="20"/>
          <w:szCs w:val="20"/>
        </w:rPr>
      </w:pPr>
    </w:p>
    <w:p w14:paraId="0D9D6BE9" w14:textId="4C825729" w:rsidR="00916E0D" w:rsidRPr="00916E0D" w:rsidRDefault="00916E0D" w:rsidP="00916E0D">
      <w:pPr>
        <w:spacing w:line="240" w:lineRule="auto"/>
        <w:rPr>
          <w:b/>
          <w:color w:val="98002E"/>
          <w:sz w:val="20"/>
          <w:szCs w:val="20"/>
        </w:rPr>
      </w:pPr>
      <w:r w:rsidRPr="00916E0D">
        <w:rPr>
          <w:b/>
          <w:color w:val="98002E"/>
          <w:sz w:val="20"/>
          <w:szCs w:val="20"/>
        </w:rPr>
        <w:t>Ulster Bank Construction Purchasing Managers Index</w:t>
      </w:r>
    </w:p>
    <w:p w14:paraId="43926E3F" w14:textId="4A59B2F0" w:rsidR="00916E0D" w:rsidRDefault="00916E0D" w:rsidP="00916E0D">
      <w:pPr>
        <w:spacing w:line="300" w:lineRule="atLeast"/>
        <w:rPr>
          <w:sz w:val="20"/>
          <w:szCs w:val="20"/>
        </w:rPr>
      </w:pPr>
      <w:r w:rsidRPr="00E11FFC">
        <w:rPr>
          <w:noProof/>
        </w:rPr>
        <w:drawing>
          <wp:inline distT="0" distB="0" distL="0" distR="0" wp14:anchorId="6E327C00" wp14:editId="0AB0B47A">
            <wp:extent cx="5219700" cy="34084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9700" cy="3408477"/>
                    </a:xfrm>
                    <a:prstGeom prst="rect">
                      <a:avLst/>
                    </a:prstGeom>
                  </pic:spPr>
                </pic:pic>
              </a:graphicData>
            </a:graphic>
          </wp:inline>
        </w:drawing>
      </w:r>
    </w:p>
    <w:p w14:paraId="5D665023" w14:textId="77777777" w:rsidR="00773B6C" w:rsidRPr="00773B6C" w:rsidRDefault="00773B6C" w:rsidP="00916E0D">
      <w:pPr>
        <w:pStyle w:val="DKMBodyText"/>
        <w:spacing w:line="300" w:lineRule="atLeast"/>
        <w:rPr>
          <w:rFonts w:asciiTheme="minorHAnsi" w:hAnsiTheme="minorHAnsi"/>
          <w:b/>
          <w:color w:val="005596"/>
          <w:sz w:val="20"/>
          <w:szCs w:val="20"/>
        </w:rPr>
      </w:pPr>
      <w:r w:rsidRPr="00773B6C">
        <w:rPr>
          <w:rFonts w:asciiTheme="minorHAnsi" w:hAnsiTheme="minorHAnsi"/>
          <w:b/>
          <w:color w:val="005596"/>
          <w:sz w:val="20"/>
          <w:szCs w:val="20"/>
        </w:rPr>
        <w:t>Regional pattern of investment</w:t>
      </w:r>
    </w:p>
    <w:p w14:paraId="391D3751" w14:textId="5D558F4C" w:rsidR="00773B6C" w:rsidRPr="00773B6C" w:rsidRDefault="00773B6C" w:rsidP="00916E0D">
      <w:pPr>
        <w:pStyle w:val="DKMBodyText"/>
        <w:spacing w:line="300" w:lineRule="atLeast"/>
        <w:rPr>
          <w:rFonts w:asciiTheme="minorHAnsi" w:hAnsiTheme="minorHAnsi"/>
          <w:sz w:val="20"/>
          <w:szCs w:val="20"/>
        </w:rPr>
      </w:pPr>
      <w:r>
        <w:rPr>
          <w:rFonts w:asciiTheme="minorHAnsi" w:hAnsiTheme="minorHAnsi"/>
          <w:sz w:val="20"/>
          <w:szCs w:val="20"/>
        </w:rPr>
        <w:t>Much of the activity underway in the construction sector is concentrated in the</w:t>
      </w:r>
      <w:r w:rsidR="00B26944">
        <w:rPr>
          <w:rFonts w:asciiTheme="minorHAnsi" w:hAnsiTheme="minorHAnsi"/>
          <w:sz w:val="20"/>
          <w:szCs w:val="20"/>
        </w:rPr>
        <w:t xml:space="preserve"> Dublin Region, which is unsustainable in the medium-term.</w:t>
      </w:r>
      <w:r>
        <w:rPr>
          <w:rFonts w:asciiTheme="minorHAnsi" w:hAnsiTheme="minorHAnsi"/>
          <w:sz w:val="20"/>
          <w:szCs w:val="20"/>
        </w:rPr>
        <w:t xml:space="preserve"> </w:t>
      </w:r>
      <w:r w:rsidRPr="00773B6C">
        <w:rPr>
          <w:rFonts w:asciiTheme="minorHAnsi" w:hAnsiTheme="minorHAnsi"/>
          <w:sz w:val="20"/>
          <w:szCs w:val="20"/>
        </w:rPr>
        <w:t xml:space="preserve">The forthcoming National Planning Framework (NPF) will influence the spatial pattern of development throughout the country. Based on current objectives, it is expected to deliver a more balanced regional development. The four cities outside Dublin are considered to have significant potential to complement Dublin, to absorb some of the strain that the Capital has been subject to in terms of accommodating growth in employment, housing need and infrastructural requirements. They will also be expected to be the focal point to drive growth and development in their regions.  Beyond the city catchments, there is a network of towns that will be expected to play a similar role. </w:t>
      </w:r>
    </w:p>
    <w:p w14:paraId="30DFE7C8" w14:textId="77777777" w:rsidR="00773B6C" w:rsidRPr="00773B6C" w:rsidRDefault="00773B6C" w:rsidP="00916E0D">
      <w:pPr>
        <w:pStyle w:val="DKMBodyText"/>
        <w:spacing w:line="300" w:lineRule="atLeast"/>
        <w:rPr>
          <w:rFonts w:asciiTheme="minorHAnsi" w:hAnsiTheme="minorHAnsi"/>
          <w:sz w:val="20"/>
          <w:szCs w:val="20"/>
        </w:rPr>
      </w:pPr>
    </w:p>
    <w:p w14:paraId="18CBB6D4" w14:textId="77777777" w:rsidR="00773B6C" w:rsidRPr="00773B6C" w:rsidRDefault="00773B6C" w:rsidP="00916E0D">
      <w:pPr>
        <w:pStyle w:val="DKMBodyText"/>
        <w:spacing w:line="300" w:lineRule="atLeast"/>
        <w:rPr>
          <w:rFonts w:asciiTheme="minorHAnsi" w:hAnsiTheme="minorHAnsi"/>
          <w:sz w:val="20"/>
          <w:szCs w:val="20"/>
        </w:rPr>
      </w:pPr>
      <w:r w:rsidRPr="00773B6C">
        <w:rPr>
          <w:rFonts w:asciiTheme="minorHAnsi" w:hAnsiTheme="minorHAnsi"/>
          <w:sz w:val="20"/>
          <w:szCs w:val="20"/>
        </w:rPr>
        <w:t>The NPF will have implications for investment in public infrastructure but will require significant up front spending on projects which can support sustainable and balanced regional development. But t</w:t>
      </w:r>
      <w:r w:rsidRPr="00773B6C">
        <w:rPr>
          <w:rFonts w:asciiTheme="minorHAnsi" w:hAnsiTheme="minorHAnsi" w:cs="HelveticaNeue-Light"/>
          <w:sz w:val="20"/>
          <w:szCs w:val="20"/>
        </w:rPr>
        <w:t>here is a notable absence of, for example, the M20 Limerick to Cork motorway in the Capital Plan, which is a key route in the context of the Atlantic Economic corridor and would be important to provide greater connectivity between the two urban centres and more generally between economic clusters in the south-west region. This road project</w:t>
      </w:r>
      <w:r w:rsidRPr="00773B6C">
        <w:rPr>
          <w:rFonts w:asciiTheme="minorHAnsi" w:hAnsiTheme="minorHAnsi"/>
          <w:sz w:val="20"/>
          <w:szCs w:val="20"/>
        </w:rPr>
        <w:t xml:space="preserve"> would take at least 5 years to get through planning and go to procurement and until it is complete, it is likely to disadvantage the entire south-west region. </w:t>
      </w:r>
    </w:p>
    <w:p w14:paraId="5A31AE51" w14:textId="77777777" w:rsidR="00773B6C" w:rsidRPr="00773B6C" w:rsidRDefault="00773B6C" w:rsidP="00916E0D">
      <w:pPr>
        <w:pStyle w:val="DKMBodyText"/>
        <w:spacing w:line="300" w:lineRule="atLeast"/>
        <w:rPr>
          <w:rFonts w:asciiTheme="minorHAnsi" w:hAnsiTheme="minorHAnsi"/>
          <w:sz w:val="20"/>
          <w:szCs w:val="20"/>
        </w:rPr>
      </w:pPr>
    </w:p>
    <w:p w14:paraId="3EF94852" w14:textId="77777777" w:rsidR="00773B6C" w:rsidRPr="00773B6C" w:rsidRDefault="00773B6C" w:rsidP="00916E0D">
      <w:pPr>
        <w:pStyle w:val="DKMBodyText"/>
        <w:spacing w:line="300" w:lineRule="atLeast"/>
        <w:rPr>
          <w:rFonts w:asciiTheme="minorHAnsi" w:hAnsiTheme="minorHAnsi"/>
          <w:sz w:val="20"/>
          <w:szCs w:val="20"/>
        </w:rPr>
      </w:pPr>
      <w:r w:rsidRPr="00773B6C">
        <w:rPr>
          <w:rFonts w:asciiTheme="minorHAnsi" w:hAnsiTheme="minorHAnsi"/>
          <w:sz w:val="20"/>
          <w:szCs w:val="20"/>
        </w:rPr>
        <w:t xml:space="preserve">Investment in productive and social infrastructure in the regions will be important for the success of the NPF and will require a strategic approach to infrastructure provision at a national scale. This is to commence with the mid-term review of the Capital Plan. </w:t>
      </w:r>
    </w:p>
    <w:p w14:paraId="7C584508" w14:textId="77777777" w:rsidR="00773B6C" w:rsidRPr="00773B6C" w:rsidRDefault="00773B6C" w:rsidP="00916E0D">
      <w:pPr>
        <w:pStyle w:val="DKMBodyText"/>
        <w:spacing w:line="300" w:lineRule="atLeast"/>
        <w:rPr>
          <w:rFonts w:asciiTheme="minorHAnsi" w:hAnsiTheme="minorHAnsi"/>
          <w:sz w:val="20"/>
          <w:szCs w:val="20"/>
        </w:rPr>
      </w:pPr>
    </w:p>
    <w:p w14:paraId="615D3C8A" w14:textId="77777777" w:rsidR="00773B6C" w:rsidRPr="00773B6C" w:rsidRDefault="00773B6C" w:rsidP="00916E0D">
      <w:pPr>
        <w:spacing w:line="300" w:lineRule="atLeast"/>
        <w:rPr>
          <w:b/>
          <w:color w:val="005596"/>
          <w:sz w:val="20"/>
          <w:szCs w:val="20"/>
        </w:rPr>
      </w:pPr>
      <w:r w:rsidRPr="00773B6C">
        <w:rPr>
          <w:b/>
          <w:color w:val="005596"/>
          <w:sz w:val="20"/>
          <w:szCs w:val="20"/>
        </w:rPr>
        <w:t>Consequences of the sharp cutback in public infrastructure over a decade</w:t>
      </w:r>
    </w:p>
    <w:p w14:paraId="50E8650E" w14:textId="77777777" w:rsidR="00773B6C" w:rsidRPr="00773B6C" w:rsidRDefault="00773B6C" w:rsidP="00916E0D">
      <w:pPr>
        <w:spacing w:line="300" w:lineRule="atLeast"/>
        <w:rPr>
          <w:sz w:val="20"/>
          <w:szCs w:val="20"/>
        </w:rPr>
      </w:pPr>
      <w:r w:rsidRPr="00773B6C">
        <w:rPr>
          <w:sz w:val="20"/>
          <w:szCs w:val="20"/>
        </w:rPr>
        <w:t>The economy requires high quality infrastructure to function efficiently. Businesses and suppliers require efficient access, in terms of our road network; our population centres need a fully-functioning water supply and wastewater system; an expanding economy keen to attract high value jobs requires a best in class educational infrastructure, from primary through to post-primary and third level; and our expanding population requires a first class health infrastructure.  However, almost a decade of cuts in productive (roads, water and wastewater) and social (housing, education and health) infrastructure has meant that:</w:t>
      </w:r>
    </w:p>
    <w:p w14:paraId="7E79ABA4" w14:textId="77777777" w:rsidR="00773B6C" w:rsidRPr="00B26944" w:rsidRDefault="00773B6C" w:rsidP="00916E0D">
      <w:pPr>
        <w:pStyle w:val="ListParagraph"/>
        <w:numPr>
          <w:ilvl w:val="0"/>
          <w:numId w:val="45"/>
        </w:numPr>
        <w:spacing w:after="0" w:line="300" w:lineRule="atLeast"/>
        <w:ind w:left="567"/>
        <w:jc w:val="both"/>
        <w:rPr>
          <w:rFonts w:asciiTheme="minorHAnsi" w:hAnsiTheme="minorHAnsi"/>
          <w:b/>
          <w:bCs/>
          <w:sz w:val="20"/>
          <w:szCs w:val="20"/>
        </w:rPr>
      </w:pPr>
      <w:r w:rsidRPr="00B26944">
        <w:rPr>
          <w:rFonts w:asciiTheme="minorHAnsi" w:hAnsiTheme="minorHAnsi"/>
          <w:sz w:val="20"/>
          <w:szCs w:val="20"/>
        </w:rPr>
        <w:t xml:space="preserve">Significant residential and non-residential construction projects are unable to commence; </w:t>
      </w:r>
    </w:p>
    <w:p w14:paraId="1CBA9F74" w14:textId="77777777" w:rsidR="00773B6C" w:rsidRPr="00B26944" w:rsidRDefault="00773B6C" w:rsidP="00916E0D">
      <w:pPr>
        <w:pStyle w:val="Heading1"/>
        <w:keepNext w:val="0"/>
        <w:keepLines w:val="0"/>
        <w:numPr>
          <w:ilvl w:val="0"/>
          <w:numId w:val="45"/>
        </w:numPr>
        <w:spacing w:before="0" w:line="300" w:lineRule="atLeast"/>
        <w:ind w:left="567"/>
        <w:rPr>
          <w:rFonts w:asciiTheme="minorHAnsi" w:eastAsiaTheme="minorHAnsi" w:hAnsiTheme="minorHAnsi" w:cstheme="minorBidi"/>
          <w:b w:val="0"/>
          <w:bCs w:val="0"/>
          <w:color w:val="auto"/>
          <w:sz w:val="20"/>
          <w:szCs w:val="20"/>
          <w:lang w:eastAsia="en-US"/>
        </w:rPr>
      </w:pPr>
      <w:r w:rsidRPr="00B26944">
        <w:rPr>
          <w:rFonts w:asciiTheme="minorHAnsi" w:eastAsiaTheme="minorHAnsi" w:hAnsiTheme="minorHAnsi" w:cstheme="minorBidi"/>
          <w:b w:val="0"/>
          <w:bCs w:val="0"/>
          <w:color w:val="auto"/>
          <w:sz w:val="20"/>
          <w:szCs w:val="20"/>
          <w:lang w:eastAsia="en-US"/>
        </w:rPr>
        <w:t xml:space="preserve">Irish universities are falling in the international rankings; </w:t>
      </w:r>
    </w:p>
    <w:p w14:paraId="3E83D5C5" w14:textId="77777777" w:rsidR="00773B6C" w:rsidRPr="00B26944" w:rsidRDefault="00773B6C" w:rsidP="00916E0D">
      <w:pPr>
        <w:pStyle w:val="Heading1"/>
        <w:keepNext w:val="0"/>
        <w:keepLines w:val="0"/>
        <w:numPr>
          <w:ilvl w:val="0"/>
          <w:numId w:val="45"/>
        </w:numPr>
        <w:spacing w:before="0" w:line="300" w:lineRule="atLeast"/>
        <w:ind w:left="567"/>
        <w:rPr>
          <w:rFonts w:asciiTheme="minorHAnsi" w:eastAsiaTheme="minorHAnsi" w:hAnsiTheme="minorHAnsi" w:cstheme="minorBidi"/>
          <w:b w:val="0"/>
          <w:bCs w:val="0"/>
          <w:color w:val="auto"/>
          <w:sz w:val="20"/>
          <w:szCs w:val="20"/>
          <w:lang w:eastAsia="en-US"/>
        </w:rPr>
      </w:pPr>
      <w:r w:rsidRPr="00B26944">
        <w:rPr>
          <w:rFonts w:asciiTheme="minorHAnsi" w:eastAsiaTheme="minorHAnsi" w:hAnsiTheme="minorHAnsi" w:cstheme="minorBidi"/>
          <w:b w:val="0"/>
          <w:bCs w:val="0"/>
          <w:color w:val="auto"/>
          <w:sz w:val="20"/>
          <w:szCs w:val="20"/>
          <w:lang w:eastAsia="en-US"/>
        </w:rPr>
        <w:t xml:space="preserve">Our health services are often operating out of outdated facilities; and </w:t>
      </w:r>
    </w:p>
    <w:p w14:paraId="62ACBBFC" w14:textId="77777777" w:rsidR="00773B6C" w:rsidRDefault="00773B6C" w:rsidP="00916E0D">
      <w:pPr>
        <w:pStyle w:val="Heading1"/>
        <w:keepNext w:val="0"/>
        <w:keepLines w:val="0"/>
        <w:widowControl w:val="0"/>
        <w:numPr>
          <w:ilvl w:val="0"/>
          <w:numId w:val="45"/>
        </w:numPr>
        <w:spacing w:before="0" w:line="300" w:lineRule="atLeast"/>
        <w:ind w:left="567"/>
        <w:rPr>
          <w:rFonts w:asciiTheme="minorHAnsi" w:eastAsiaTheme="minorHAnsi" w:hAnsiTheme="minorHAnsi" w:cstheme="minorBidi"/>
          <w:b w:val="0"/>
          <w:bCs w:val="0"/>
          <w:color w:val="auto"/>
          <w:sz w:val="20"/>
          <w:szCs w:val="20"/>
          <w:lang w:eastAsia="en-US"/>
        </w:rPr>
      </w:pPr>
      <w:r w:rsidRPr="00B26944">
        <w:rPr>
          <w:rFonts w:asciiTheme="minorHAnsi" w:eastAsiaTheme="minorHAnsi" w:hAnsiTheme="minorHAnsi" w:cstheme="minorBidi"/>
          <w:b w:val="0"/>
          <w:bCs w:val="0"/>
          <w:color w:val="auto"/>
          <w:sz w:val="20"/>
          <w:szCs w:val="20"/>
          <w:lang w:eastAsia="en-US"/>
        </w:rPr>
        <w:t xml:space="preserve">The acute housing shortage has put at risk the potential to attract FDI and relocations as a result of Brexit. </w:t>
      </w:r>
    </w:p>
    <w:p w14:paraId="4AD6013C" w14:textId="77777777" w:rsidR="00916E0D" w:rsidRDefault="00916E0D" w:rsidP="00916E0D">
      <w:pPr>
        <w:pStyle w:val="Heading1"/>
        <w:keepNext w:val="0"/>
        <w:keepLines w:val="0"/>
        <w:widowControl w:val="0"/>
        <w:spacing w:before="0" w:line="300" w:lineRule="atLeast"/>
        <w:rPr>
          <w:rFonts w:asciiTheme="minorHAnsi" w:eastAsiaTheme="minorHAnsi" w:hAnsiTheme="minorHAnsi" w:cstheme="minorBidi"/>
          <w:b w:val="0"/>
          <w:bCs w:val="0"/>
          <w:color w:val="auto"/>
          <w:sz w:val="20"/>
          <w:szCs w:val="20"/>
          <w:lang w:eastAsia="en-US"/>
        </w:rPr>
      </w:pPr>
    </w:p>
    <w:p w14:paraId="04E1FEFC" w14:textId="77777777" w:rsidR="00773B6C" w:rsidRPr="00B26944" w:rsidRDefault="00773B6C" w:rsidP="00916E0D">
      <w:pPr>
        <w:pStyle w:val="Heading1"/>
        <w:keepNext w:val="0"/>
        <w:keepLines w:val="0"/>
        <w:widowControl w:val="0"/>
        <w:spacing w:before="0" w:line="300" w:lineRule="atLeast"/>
        <w:rPr>
          <w:rFonts w:asciiTheme="minorHAnsi" w:eastAsiaTheme="minorHAnsi" w:hAnsiTheme="minorHAnsi" w:cstheme="minorBidi"/>
          <w:b w:val="0"/>
          <w:bCs w:val="0"/>
          <w:color w:val="auto"/>
          <w:sz w:val="20"/>
          <w:szCs w:val="20"/>
          <w:lang w:eastAsia="en-US"/>
        </w:rPr>
      </w:pPr>
      <w:r w:rsidRPr="00B26944">
        <w:rPr>
          <w:rFonts w:asciiTheme="minorHAnsi" w:eastAsiaTheme="minorHAnsi" w:hAnsiTheme="minorHAnsi" w:cstheme="minorBidi"/>
          <w:b w:val="0"/>
          <w:bCs w:val="0"/>
          <w:color w:val="auto"/>
          <w:sz w:val="20"/>
          <w:szCs w:val="20"/>
          <w:lang w:eastAsia="en-US"/>
        </w:rPr>
        <w:t>We understand that the €200 million for investment in enabling infrastructure to deliver additional supply of social and private housing in the Local Infrastructure Housing Activation Fund (LIHAF), was four times oversubscribed. This is having repercussions for local authorities who have to provide the matching funds with those from the Exchequer to fund the LIHAF over the period 2017-2019.</w:t>
      </w:r>
    </w:p>
    <w:p w14:paraId="6CFFC1AA" w14:textId="77777777" w:rsidR="00773B6C" w:rsidRPr="00B26944" w:rsidRDefault="00773B6C" w:rsidP="00916E0D">
      <w:pPr>
        <w:pStyle w:val="Heading1"/>
        <w:spacing w:before="0" w:line="300" w:lineRule="atLeast"/>
        <w:rPr>
          <w:rFonts w:asciiTheme="minorHAnsi" w:eastAsiaTheme="minorHAnsi" w:hAnsiTheme="minorHAnsi" w:cstheme="minorBidi"/>
          <w:b w:val="0"/>
          <w:bCs w:val="0"/>
          <w:color w:val="auto"/>
          <w:sz w:val="20"/>
          <w:szCs w:val="20"/>
          <w:lang w:eastAsia="en-US"/>
        </w:rPr>
      </w:pPr>
    </w:p>
    <w:p w14:paraId="2AB598D6" w14:textId="77777777" w:rsidR="00773B6C" w:rsidRPr="00B26944" w:rsidRDefault="00773B6C" w:rsidP="00916E0D">
      <w:pPr>
        <w:pStyle w:val="Heading1"/>
        <w:spacing w:before="0" w:line="300" w:lineRule="atLeast"/>
        <w:rPr>
          <w:rFonts w:asciiTheme="minorHAnsi" w:eastAsiaTheme="minorHAnsi" w:hAnsiTheme="minorHAnsi" w:cstheme="minorBidi"/>
          <w:b w:val="0"/>
          <w:bCs w:val="0"/>
          <w:color w:val="auto"/>
          <w:sz w:val="20"/>
          <w:szCs w:val="20"/>
          <w:lang w:eastAsia="en-US"/>
        </w:rPr>
      </w:pPr>
      <w:r w:rsidRPr="00B26944">
        <w:rPr>
          <w:rFonts w:asciiTheme="minorHAnsi" w:eastAsiaTheme="minorHAnsi" w:hAnsiTheme="minorHAnsi" w:cstheme="minorBidi"/>
          <w:b w:val="0"/>
          <w:bCs w:val="0"/>
          <w:color w:val="auto"/>
          <w:sz w:val="20"/>
          <w:szCs w:val="20"/>
          <w:lang w:eastAsia="en-US"/>
        </w:rPr>
        <w:t xml:space="preserve">The lack of investment in roads, water and waste water services over the past decade means that there is a risk that residential and non-residential building development will also be constrained in the medium-term. </w:t>
      </w:r>
    </w:p>
    <w:p w14:paraId="13B509CF" w14:textId="77777777" w:rsidR="00773B6C" w:rsidRPr="00B26944" w:rsidRDefault="00773B6C" w:rsidP="00916E0D">
      <w:pPr>
        <w:spacing w:line="300" w:lineRule="atLeast"/>
        <w:rPr>
          <w:sz w:val="20"/>
          <w:szCs w:val="20"/>
        </w:rPr>
      </w:pPr>
    </w:p>
    <w:p w14:paraId="2346094A" w14:textId="6ACB7431" w:rsidR="00773B6C" w:rsidRPr="00773B6C" w:rsidRDefault="00773B6C" w:rsidP="00916E0D">
      <w:pPr>
        <w:spacing w:line="300" w:lineRule="atLeast"/>
        <w:rPr>
          <w:b/>
          <w:color w:val="005596"/>
          <w:sz w:val="20"/>
          <w:szCs w:val="20"/>
        </w:rPr>
      </w:pPr>
      <w:r w:rsidRPr="00773B6C">
        <w:rPr>
          <w:b/>
          <w:color w:val="005596"/>
          <w:sz w:val="20"/>
          <w:szCs w:val="20"/>
        </w:rPr>
        <w:t>Infrastructure investment has a positive effect on economic growth and jobs</w:t>
      </w:r>
    </w:p>
    <w:p w14:paraId="50DF3379" w14:textId="77777777" w:rsidR="00773B6C" w:rsidRPr="00773B6C" w:rsidRDefault="00773B6C" w:rsidP="00916E0D">
      <w:pPr>
        <w:spacing w:line="300" w:lineRule="atLeast"/>
        <w:rPr>
          <w:rFonts w:cs="Arial"/>
          <w:color w:val="000000"/>
          <w:sz w:val="20"/>
          <w:szCs w:val="20"/>
        </w:rPr>
      </w:pPr>
      <w:r w:rsidRPr="00773B6C">
        <w:rPr>
          <w:sz w:val="20"/>
          <w:szCs w:val="20"/>
        </w:rPr>
        <w:t xml:space="preserve">The construction sector contributes to the productive potential of the economy, by providing and maintaining the physical infrastructure and buildings, which are critical for competitiveness. Moreover, other firms back through the supply chain also contribute to the economy through the various output and employment multipliers, as the additional wages and profits generated in these firms are spent on goods and services in the wider economy. Independent estimates suggest that </w:t>
      </w:r>
      <w:r w:rsidRPr="00773B6C">
        <w:rPr>
          <w:rFonts w:cs="Arial"/>
          <w:color w:val="000000"/>
          <w:sz w:val="20"/>
          <w:szCs w:val="20"/>
        </w:rPr>
        <w:t>10 direct and indirect FTE (full-time equivalent) work years are generated per €1 million of construction investment. In terms of Gross Value Added (GVA), the direct and indirect multiplier associated with a €1 million investment in construction raises economic activity by €0.7 million.  When induced impacts are included, the employment multiplier increases to 12 and the GVA multiplier increase to almost €1 million</w:t>
      </w:r>
      <w:r w:rsidRPr="00773B6C">
        <w:rPr>
          <w:rStyle w:val="FootnoteReference"/>
          <w:rFonts w:cs="Arial"/>
          <w:color w:val="000000"/>
          <w:sz w:val="20"/>
          <w:szCs w:val="20"/>
        </w:rPr>
        <w:footnoteReference w:id="5"/>
      </w:r>
      <w:r w:rsidRPr="00773B6C">
        <w:rPr>
          <w:rFonts w:cs="Arial"/>
          <w:color w:val="000000"/>
          <w:sz w:val="20"/>
          <w:szCs w:val="20"/>
        </w:rPr>
        <w:t xml:space="preserve">. </w:t>
      </w:r>
    </w:p>
    <w:p w14:paraId="1DC68FC3" w14:textId="77777777" w:rsidR="00773B6C" w:rsidRPr="00773B6C" w:rsidRDefault="00773B6C" w:rsidP="00916E0D">
      <w:pPr>
        <w:spacing w:line="300" w:lineRule="atLeast"/>
        <w:rPr>
          <w:rFonts w:cs="Arial"/>
          <w:color w:val="000000"/>
          <w:sz w:val="20"/>
          <w:szCs w:val="20"/>
        </w:rPr>
      </w:pPr>
    </w:p>
    <w:p w14:paraId="6585E768" w14:textId="366738D7" w:rsidR="00773B6C" w:rsidRPr="00773B6C" w:rsidRDefault="00773B6C" w:rsidP="00916E0D">
      <w:pPr>
        <w:spacing w:line="300" w:lineRule="atLeast"/>
        <w:rPr>
          <w:sz w:val="20"/>
          <w:szCs w:val="20"/>
        </w:rPr>
      </w:pPr>
      <w:r w:rsidRPr="00773B6C">
        <w:rPr>
          <w:sz w:val="20"/>
          <w:szCs w:val="20"/>
        </w:rPr>
        <w:t xml:space="preserve">In the four years since employment in construction reached its lowest level (Q1 2013), the industry has generated the highest proportion of the total jobs created across the economy, at almost 23 per cent. But employment in the industry is currently only at 50 per cent of where it was in 2007. </w:t>
      </w:r>
    </w:p>
    <w:p w14:paraId="5D0B6A21" w14:textId="77777777" w:rsidR="00773B6C" w:rsidRPr="00773B6C" w:rsidRDefault="00773B6C" w:rsidP="00916E0D">
      <w:pPr>
        <w:spacing w:line="300" w:lineRule="atLeast"/>
        <w:rPr>
          <w:sz w:val="20"/>
          <w:szCs w:val="20"/>
        </w:rPr>
      </w:pPr>
    </w:p>
    <w:p w14:paraId="6474FDA8" w14:textId="77777777" w:rsidR="00773B6C" w:rsidRPr="00773B6C" w:rsidRDefault="00773B6C" w:rsidP="00916E0D">
      <w:pPr>
        <w:spacing w:line="300" w:lineRule="atLeast"/>
        <w:rPr>
          <w:b/>
          <w:color w:val="005596"/>
          <w:sz w:val="20"/>
          <w:szCs w:val="20"/>
        </w:rPr>
      </w:pPr>
      <w:r w:rsidRPr="00773B6C">
        <w:rPr>
          <w:b/>
          <w:color w:val="005596"/>
          <w:sz w:val="20"/>
          <w:szCs w:val="20"/>
        </w:rPr>
        <w:t>Challenges facing the sector</w:t>
      </w:r>
    </w:p>
    <w:p w14:paraId="7733FE41" w14:textId="77777777" w:rsidR="00773B6C" w:rsidRPr="00773B6C" w:rsidRDefault="00773B6C" w:rsidP="00916E0D">
      <w:pPr>
        <w:spacing w:line="300" w:lineRule="atLeast"/>
        <w:rPr>
          <w:rFonts w:cs="Calibri"/>
          <w:sz w:val="20"/>
          <w:szCs w:val="20"/>
        </w:rPr>
      </w:pPr>
      <w:r w:rsidRPr="00773B6C">
        <w:rPr>
          <w:sz w:val="20"/>
          <w:szCs w:val="20"/>
        </w:rPr>
        <w:t>There are a number of challenges currently facing the industry with regard to skills and the threat of building inflation. An unfortunate development has been the upward trend in building tender price inflation, which is currently running at 6.3 per cent per annum</w:t>
      </w:r>
      <w:r w:rsidRPr="00773B6C">
        <w:rPr>
          <w:rStyle w:val="FootnoteReference"/>
          <w:sz w:val="20"/>
          <w:szCs w:val="20"/>
        </w:rPr>
        <w:footnoteReference w:id="6"/>
      </w:r>
      <w:r w:rsidRPr="00773B6C">
        <w:rPr>
          <w:sz w:val="20"/>
          <w:szCs w:val="20"/>
        </w:rPr>
        <w:t xml:space="preserve">. This is indicative of the lost capacity in the industry during the financial crisis as well as the rising cost of labour, sub-contractors and materials. On the skills front, </w:t>
      </w:r>
      <w:r w:rsidRPr="00773B6C">
        <w:rPr>
          <w:rFonts w:cs="Calibri"/>
          <w:sz w:val="20"/>
          <w:szCs w:val="20"/>
        </w:rPr>
        <w:t>the total sector labour requirement is projected at around 112,000 (expansion and replacement) over the four years 2016-2020. This challenge needs to be considered in the context of a skills gap of over 400,000 each year by 2021 in the UK construction industry.</w:t>
      </w:r>
      <w:r w:rsidRPr="00773B6C">
        <w:rPr>
          <w:rStyle w:val="FootnoteReference"/>
          <w:rFonts w:cs="Calibri"/>
          <w:sz w:val="20"/>
          <w:szCs w:val="20"/>
        </w:rPr>
        <w:footnoteReference w:id="7"/>
      </w:r>
      <w:r w:rsidRPr="00773B6C">
        <w:rPr>
          <w:rFonts w:cs="Calibri"/>
          <w:sz w:val="20"/>
          <w:szCs w:val="20"/>
        </w:rPr>
        <w:t xml:space="preserve">  </w:t>
      </w:r>
    </w:p>
    <w:p w14:paraId="0BECFF3F" w14:textId="77777777" w:rsidR="00A467F6" w:rsidRPr="00773B6C" w:rsidRDefault="00A467F6" w:rsidP="00916E0D">
      <w:pPr>
        <w:pStyle w:val="DKMBody"/>
        <w:spacing w:line="300" w:lineRule="atLeast"/>
        <w:rPr>
          <w:sz w:val="20"/>
          <w:szCs w:val="20"/>
        </w:rPr>
      </w:pPr>
    </w:p>
    <w:p w14:paraId="1F45F293" w14:textId="77777777" w:rsidR="00E7663E" w:rsidRDefault="00E7663E" w:rsidP="00916E0D">
      <w:pPr>
        <w:pStyle w:val="DKMBody"/>
        <w:spacing w:line="300" w:lineRule="atLeast"/>
        <w:rPr>
          <w:b/>
          <w:color w:val="98002E"/>
          <w:sz w:val="24"/>
          <w:szCs w:val="24"/>
        </w:rPr>
        <w:sectPr w:rsidR="00E7663E" w:rsidSect="00C85FF1">
          <w:headerReference w:type="default" r:id="rId11"/>
          <w:footerReference w:type="default" r:id="rId12"/>
          <w:pgSz w:w="11906" w:h="16838"/>
          <w:pgMar w:top="2041" w:right="851" w:bottom="1418" w:left="2835" w:header="709" w:footer="709" w:gutter="0"/>
          <w:pgNumType w:fmt="lowerRoman" w:start="1"/>
          <w:cols w:space="708"/>
          <w:docGrid w:linePitch="360"/>
        </w:sectPr>
      </w:pPr>
    </w:p>
    <w:p w14:paraId="62F25DFA" w14:textId="4FA24535" w:rsidR="0050397C" w:rsidRPr="006A646B" w:rsidRDefault="0050397C" w:rsidP="00916E0D">
      <w:pPr>
        <w:pStyle w:val="DKMBody"/>
        <w:spacing w:line="300" w:lineRule="atLeast"/>
        <w:rPr>
          <w:b/>
          <w:color w:val="98002E"/>
          <w:sz w:val="24"/>
          <w:szCs w:val="24"/>
        </w:rPr>
      </w:pPr>
      <w:r w:rsidRPr="006A646B">
        <w:rPr>
          <w:b/>
          <w:color w:val="98002E"/>
          <w:sz w:val="24"/>
          <w:szCs w:val="24"/>
        </w:rPr>
        <w:t>RECOMMENDATIONS</w:t>
      </w:r>
    </w:p>
    <w:p w14:paraId="31B08616" w14:textId="77777777" w:rsidR="00916E0D" w:rsidRDefault="00916E0D" w:rsidP="00916E0D">
      <w:pPr>
        <w:pStyle w:val="DKMBody"/>
        <w:spacing w:line="300" w:lineRule="atLeast"/>
        <w:rPr>
          <w:b/>
          <w:color w:val="005596"/>
          <w:sz w:val="20"/>
          <w:szCs w:val="20"/>
        </w:rPr>
      </w:pPr>
    </w:p>
    <w:p w14:paraId="77580D85" w14:textId="77777777" w:rsidR="0050397C" w:rsidRPr="0050397C" w:rsidRDefault="0050397C" w:rsidP="00916E0D">
      <w:pPr>
        <w:pStyle w:val="DKMBody"/>
        <w:spacing w:line="300" w:lineRule="atLeast"/>
        <w:rPr>
          <w:sz w:val="20"/>
          <w:szCs w:val="20"/>
        </w:rPr>
      </w:pPr>
      <w:r w:rsidRPr="0050397C">
        <w:rPr>
          <w:b/>
          <w:color w:val="005596"/>
          <w:sz w:val="20"/>
          <w:szCs w:val="20"/>
        </w:rPr>
        <w:t>Investment in Public Infrastructure</w:t>
      </w:r>
    </w:p>
    <w:p w14:paraId="080B96F7" w14:textId="77777777" w:rsidR="0050397C" w:rsidRPr="0050397C" w:rsidRDefault="0050397C" w:rsidP="00916E0D">
      <w:pPr>
        <w:pStyle w:val="DKMBody"/>
        <w:numPr>
          <w:ilvl w:val="0"/>
          <w:numId w:val="40"/>
        </w:numPr>
        <w:spacing w:line="300" w:lineRule="atLeast"/>
        <w:ind w:left="284" w:hanging="284"/>
        <w:rPr>
          <w:sz w:val="20"/>
          <w:szCs w:val="20"/>
        </w:rPr>
      </w:pPr>
      <w:r w:rsidRPr="0050397C">
        <w:rPr>
          <w:sz w:val="20"/>
          <w:szCs w:val="20"/>
        </w:rPr>
        <w:t xml:space="preserve">The Irish Fiscal Advisory Council has expressed concern that Ireland’s quantum of capital expenditure is barely covering the depreciation costs of the capital stock. If additional finance does not become available, this increases costs in the economy in the short term (as poorer infrastructure reduces efficiency) and in the medium- and long-term (due to the need to upgrade). At a minimum, </w:t>
      </w:r>
      <w:r w:rsidRPr="0050397C">
        <w:rPr>
          <w:b/>
          <w:sz w:val="20"/>
          <w:szCs w:val="20"/>
        </w:rPr>
        <w:t xml:space="preserve">the quantum of expenditure allocated to capital projects should be sufficient to cover depreciation </w:t>
      </w:r>
      <w:r w:rsidRPr="0050397C">
        <w:rPr>
          <w:b/>
          <w:sz w:val="20"/>
          <w:szCs w:val="20"/>
          <w:u w:val="single"/>
        </w:rPr>
        <w:t>and</w:t>
      </w:r>
      <w:r w:rsidRPr="0050397C">
        <w:rPr>
          <w:b/>
          <w:sz w:val="20"/>
          <w:szCs w:val="20"/>
        </w:rPr>
        <w:t xml:space="preserve"> tackle the backlog in a number of sectors</w:t>
      </w:r>
      <w:r w:rsidRPr="0050397C">
        <w:rPr>
          <w:sz w:val="20"/>
          <w:szCs w:val="20"/>
        </w:rPr>
        <w:t xml:space="preserve">, notably housing, transport, health and education.  </w:t>
      </w:r>
    </w:p>
    <w:p w14:paraId="3FAB27B8" w14:textId="77777777" w:rsidR="0050397C" w:rsidRPr="0050397C" w:rsidRDefault="0050397C" w:rsidP="00916E0D">
      <w:pPr>
        <w:pStyle w:val="DKMBody"/>
        <w:spacing w:line="300" w:lineRule="atLeast"/>
        <w:ind w:left="284" w:hanging="284"/>
        <w:rPr>
          <w:sz w:val="20"/>
          <w:szCs w:val="20"/>
        </w:rPr>
      </w:pPr>
    </w:p>
    <w:p w14:paraId="241F9B35" w14:textId="77777777" w:rsidR="0050397C" w:rsidRPr="0050397C" w:rsidRDefault="0050397C" w:rsidP="00916E0D">
      <w:pPr>
        <w:pStyle w:val="DKMBody"/>
        <w:numPr>
          <w:ilvl w:val="0"/>
          <w:numId w:val="40"/>
        </w:numPr>
        <w:spacing w:line="300" w:lineRule="atLeast"/>
        <w:ind w:left="284" w:hanging="284"/>
        <w:rPr>
          <w:sz w:val="20"/>
          <w:szCs w:val="20"/>
        </w:rPr>
      </w:pPr>
      <w:r w:rsidRPr="0050397C">
        <w:rPr>
          <w:sz w:val="20"/>
          <w:szCs w:val="20"/>
        </w:rPr>
        <w:t xml:space="preserve">There is a clear need to invest heavily in </w:t>
      </w:r>
      <w:r w:rsidRPr="0050397C">
        <w:rPr>
          <w:b/>
          <w:sz w:val="20"/>
          <w:szCs w:val="20"/>
        </w:rPr>
        <w:t>transport infrastructure</w:t>
      </w:r>
      <w:r w:rsidRPr="0050397C">
        <w:rPr>
          <w:sz w:val="20"/>
          <w:szCs w:val="20"/>
        </w:rPr>
        <w:t xml:space="preserve"> over the coming years, so as to support both population growth and competiveness. In particular, as Dublin is one of the most congested cities in Europe, measures that address this problem will lead to productivity gains for the economy. In turn, this will increase competitiveness. </w:t>
      </w:r>
    </w:p>
    <w:p w14:paraId="6B92002A" w14:textId="77777777" w:rsidR="0050397C" w:rsidRPr="0050397C" w:rsidRDefault="0050397C" w:rsidP="00916E0D">
      <w:pPr>
        <w:pStyle w:val="DKMBody"/>
        <w:spacing w:line="300" w:lineRule="atLeast"/>
        <w:ind w:left="284" w:hanging="284"/>
        <w:rPr>
          <w:sz w:val="20"/>
          <w:szCs w:val="20"/>
        </w:rPr>
      </w:pPr>
    </w:p>
    <w:p w14:paraId="5B1D4923" w14:textId="77777777" w:rsidR="0050397C" w:rsidRPr="0050397C" w:rsidRDefault="0050397C" w:rsidP="00916E0D">
      <w:pPr>
        <w:pStyle w:val="DKMBody"/>
        <w:numPr>
          <w:ilvl w:val="0"/>
          <w:numId w:val="40"/>
        </w:numPr>
        <w:spacing w:line="300" w:lineRule="atLeast"/>
        <w:ind w:left="284" w:hanging="284"/>
        <w:rPr>
          <w:sz w:val="20"/>
          <w:szCs w:val="20"/>
        </w:rPr>
      </w:pPr>
      <w:r w:rsidRPr="0050397C">
        <w:rPr>
          <w:sz w:val="20"/>
          <w:szCs w:val="20"/>
        </w:rPr>
        <w:t xml:space="preserve">The prospect of some form of customs checks on the border between Northern Ireland and Ireland, and with that delays to travel times, will reduce the productivity of cross-border road users. Improvements to the </w:t>
      </w:r>
      <w:r w:rsidRPr="0050397C">
        <w:rPr>
          <w:b/>
          <w:sz w:val="20"/>
          <w:szCs w:val="20"/>
        </w:rPr>
        <w:t>road network around the border region</w:t>
      </w:r>
      <w:r w:rsidRPr="0050397C">
        <w:rPr>
          <w:sz w:val="20"/>
          <w:szCs w:val="20"/>
        </w:rPr>
        <w:t xml:space="preserve"> would mitigate these losses to productivity whilst also increasing road quality in a broader sense. </w:t>
      </w:r>
    </w:p>
    <w:p w14:paraId="0D8BA38D" w14:textId="77777777" w:rsidR="0050397C" w:rsidRPr="0050397C" w:rsidRDefault="0050397C" w:rsidP="00916E0D">
      <w:pPr>
        <w:pStyle w:val="DKMBody"/>
        <w:spacing w:line="300" w:lineRule="atLeast"/>
        <w:ind w:left="284" w:hanging="284"/>
        <w:rPr>
          <w:sz w:val="20"/>
          <w:szCs w:val="20"/>
        </w:rPr>
      </w:pPr>
    </w:p>
    <w:p w14:paraId="410E17E9" w14:textId="77777777" w:rsidR="0050397C" w:rsidRPr="0050397C" w:rsidRDefault="0050397C" w:rsidP="00916E0D">
      <w:pPr>
        <w:pStyle w:val="DKMBody"/>
        <w:numPr>
          <w:ilvl w:val="0"/>
          <w:numId w:val="40"/>
        </w:numPr>
        <w:spacing w:line="300" w:lineRule="atLeast"/>
        <w:ind w:left="284" w:hanging="284"/>
        <w:rPr>
          <w:sz w:val="20"/>
          <w:szCs w:val="20"/>
        </w:rPr>
      </w:pPr>
      <w:r w:rsidRPr="0050397C">
        <w:rPr>
          <w:sz w:val="20"/>
          <w:szCs w:val="20"/>
        </w:rPr>
        <w:t xml:space="preserve">The </w:t>
      </w:r>
      <w:r w:rsidRPr="0050397C">
        <w:rPr>
          <w:b/>
          <w:sz w:val="20"/>
          <w:szCs w:val="20"/>
        </w:rPr>
        <w:t>ageing of the population</w:t>
      </w:r>
      <w:r w:rsidRPr="0050397C">
        <w:rPr>
          <w:sz w:val="20"/>
          <w:szCs w:val="20"/>
        </w:rPr>
        <w:t xml:space="preserve"> over the coming years will increase demand for services for older people. Whilst the private sector is likely to build nursing homes and retirement communities to cater for private demand, the State should ensure that public demand is catered for too. Capital investment that addresses these coming bottlenecks will free up housing stock and prevent old-age inequalities. </w:t>
      </w:r>
    </w:p>
    <w:p w14:paraId="54B82E9E" w14:textId="77777777" w:rsidR="0050397C" w:rsidRPr="0050397C" w:rsidRDefault="0050397C" w:rsidP="00916E0D">
      <w:pPr>
        <w:pStyle w:val="DKMBody"/>
        <w:spacing w:line="300" w:lineRule="atLeast"/>
        <w:ind w:left="284" w:hanging="284"/>
        <w:rPr>
          <w:sz w:val="20"/>
          <w:szCs w:val="20"/>
        </w:rPr>
      </w:pPr>
    </w:p>
    <w:p w14:paraId="38E14F98" w14:textId="77777777" w:rsidR="0050397C" w:rsidRPr="0050397C" w:rsidRDefault="0050397C" w:rsidP="00916E0D">
      <w:pPr>
        <w:pStyle w:val="DKMBody"/>
        <w:numPr>
          <w:ilvl w:val="0"/>
          <w:numId w:val="40"/>
        </w:numPr>
        <w:spacing w:line="300" w:lineRule="atLeast"/>
        <w:ind w:left="284" w:hanging="284"/>
        <w:rPr>
          <w:sz w:val="20"/>
          <w:szCs w:val="20"/>
        </w:rPr>
      </w:pPr>
      <w:r w:rsidRPr="0050397C">
        <w:rPr>
          <w:sz w:val="20"/>
          <w:szCs w:val="20"/>
        </w:rPr>
        <w:t xml:space="preserve">Population growth in the period 2011-2016 was greatest in Dublin, its surrounding counties, and Cork and Galway, suggesting that urbanisation increased during the recession. With publication of the </w:t>
      </w:r>
      <w:r w:rsidRPr="0050397C">
        <w:rPr>
          <w:b/>
          <w:sz w:val="20"/>
          <w:szCs w:val="20"/>
        </w:rPr>
        <w:t>National Planning Framework</w:t>
      </w:r>
      <w:r w:rsidRPr="0050397C">
        <w:rPr>
          <w:sz w:val="20"/>
          <w:szCs w:val="20"/>
        </w:rPr>
        <w:t xml:space="preserve">, it is expected that this trend will continue over the coming years, with Dublin and the Mid-East likely to grow at faster rates than other regions.  Although investment should be needs-based and should focus on the regions where demand is highest, this should not be at the expense of other regions. </w:t>
      </w:r>
    </w:p>
    <w:p w14:paraId="36B75F26" w14:textId="77777777" w:rsidR="0050397C" w:rsidRPr="0050397C" w:rsidRDefault="0050397C" w:rsidP="00916E0D">
      <w:pPr>
        <w:pStyle w:val="ListParagraph"/>
        <w:spacing w:after="0" w:line="300" w:lineRule="atLeast"/>
        <w:rPr>
          <w:rFonts w:asciiTheme="minorHAnsi" w:hAnsiTheme="minorHAnsi"/>
          <w:sz w:val="20"/>
          <w:szCs w:val="20"/>
        </w:rPr>
      </w:pPr>
    </w:p>
    <w:p w14:paraId="33CA01FB" w14:textId="77777777" w:rsidR="0050397C" w:rsidRPr="0050397C" w:rsidRDefault="0050397C" w:rsidP="00916E0D">
      <w:pPr>
        <w:pStyle w:val="DKMBody"/>
        <w:spacing w:line="300" w:lineRule="atLeast"/>
        <w:rPr>
          <w:sz w:val="20"/>
          <w:szCs w:val="20"/>
        </w:rPr>
      </w:pPr>
      <w:r w:rsidRPr="0050397C">
        <w:rPr>
          <w:b/>
          <w:color w:val="005596"/>
          <w:sz w:val="20"/>
          <w:szCs w:val="20"/>
        </w:rPr>
        <w:t>Planning Best Practice</w:t>
      </w:r>
    </w:p>
    <w:p w14:paraId="67BAD778" w14:textId="0A5D9064" w:rsidR="0050397C" w:rsidRPr="0050397C" w:rsidRDefault="0050397C" w:rsidP="00916E0D">
      <w:pPr>
        <w:pStyle w:val="DKMBody"/>
        <w:numPr>
          <w:ilvl w:val="0"/>
          <w:numId w:val="40"/>
        </w:numPr>
        <w:spacing w:line="300" w:lineRule="atLeast"/>
        <w:ind w:left="284" w:hanging="284"/>
        <w:rPr>
          <w:sz w:val="20"/>
          <w:szCs w:val="20"/>
        </w:rPr>
      </w:pPr>
      <w:r w:rsidRPr="0050397C">
        <w:rPr>
          <w:sz w:val="20"/>
          <w:szCs w:val="20"/>
        </w:rPr>
        <w:t>The mid-term review of the Capital Plan should</w:t>
      </w:r>
      <w:r w:rsidR="00916E0D">
        <w:rPr>
          <w:sz w:val="20"/>
          <w:szCs w:val="20"/>
        </w:rPr>
        <w:t xml:space="preserve"> </w:t>
      </w:r>
      <w:r w:rsidR="00E27E58">
        <w:rPr>
          <w:sz w:val="20"/>
          <w:szCs w:val="20"/>
        </w:rPr>
        <w:t xml:space="preserve">adopt </w:t>
      </w:r>
      <w:r w:rsidRPr="0050397C">
        <w:rPr>
          <w:b/>
          <w:sz w:val="20"/>
          <w:szCs w:val="20"/>
        </w:rPr>
        <w:t xml:space="preserve">best practice in terms of the planning and institutional framework </w:t>
      </w:r>
      <w:r w:rsidRPr="0050397C">
        <w:rPr>
          <w:sz w:val="20"/>
          <w:szCs w:val="20"/>
        </w:rPr>
        <w:t>for the roll out of capital infrastructure projects.</w:t>
      </w:r>
      <w:r w:rsidR="00E27E58">
        <w:rPr>
          <w:sz w:val="20"/>
          <w:szCs w:val="20"/>
        </w:rPr>
        <w:t xml:space="preserve">  </w:t>
      </w:r>
    </w:p>
    <w:p w14:paraId="05E8F5E8" w14:textId="77777777" w:rsidR="0050397C" w:rsidRPr="0050397C" w:rsidRDefault="0050397C" w:rsidP="00916E0D">
      <w:pPr>
        <w:pStyle w:val="DKMBody"/>
        <w:spacing w:line="300" w:lineRule="atLeast"/>
        <w:ind w:left="284" w:hanging="284"/>
        <w:rPr>
          <w:sz w:val="20"/>
          <w:szCs w:val="20"/>
        </w:rPr>
      </w:pPr>
    </w:p>
    <w:p w14:paraId="552E7A8E" w14:textId="77777777" w:rsidR="0050397C" w:rsidRPr="0050397C" w:rsidRDefault="0050397C" w:rsidP="00916E0D">
      <w:pPr>
        <w:pStyle w:val="DKMBody"/>
        <w:numPr>
          <w:ilvl w:val="0"/>
          <w:numId w:val="40"/>
        </w:numPr>
        <w:spacing w:line="300" w:lineRule="atLeast"/>
        <w:ind w:left="284" w:hanging="284"/>
        <w:rPr>
          <w:sz w:val="20"/>
          <w:szCs w:val="20"/>
        </w:rPr>
      </w:pPr>
      <w:r w:rsidRPr="0050397C">
        <w:rPr>
          <w:sz w:val="20"/>
          <w:szCs w:val="20"/>
        </w:rPr>
        <w:t xml:space="preserve">The strategic infrastructure planning approval process in An Bord Pleanála works well. Every effort should be made to </w:t>
      </w:r>
      <w:r w:rsidRPr="0050397C">
        <w:rPr>
          <w:b/>
          <w:sz w:val="20"/>
          <w:szCs w:val="20"/>
        </w:rPr>
        <w:t>progress the planning phases of critical infrastructure</w:t>
      </w:r>
      <w:r w:rsidRPr="0050397C">
        <w:rPr>
          <w:sz w:val="20"/>
          <w:szCs w:val="20"/>
        </w:rPr>
        <w:t xml:space="preserve"> </w:t>
      </w:r>
      <w:r w:rsidRPr="0050397C">
        <w:rPr>
          <w:b/>
          <w:sz w:val="20"/>
          <w:szCs w:val="20"/>
        </w:rPr>
        <w:t>projects</w:t>
      </w:r>
      <w:r w:rsidRPr="0050397C">
        <w:rPr>
          <w:sz w:val="20"/>
          <w:szCs w:val="20"/>
        </w:rPr>
        <w:t xml:space="preserve"> through An Bord Pleanála at the earliest opportunity so that the statutory planning requirements can be addressed in the short term.</w:t>
      </w:r>
    </w:p>
    <w:p w14:paraId="7320790B" w14:textId="77777777" w:rsidR="0050397C" w:rsidRDefault="0050397C" w:rsidP="00916E0D">
      <w:pPr>
        <w:spacing w:line="300" w:lineRule="atLeast"/>
        <w:rPr>
          <w:b/>
          <w:color w:val="005596"/>
          <w:sz w:val="20"/>
          <w:szCs w:val="20"/>
        </w:rPr>
      </w:pPr>
    </w:p>
    <w:p w14:paraId="5977AF97" w14:textId="77777777" w:rsidR="00E7663E" w:rsidRDefault="00E7663E" w:rsidP="00916E0D">
      <w:pPr>
        <w:spacing w:line="300" w:lineRule="atLeast"/>
        <w:rPr>
          <w:b/>
          <w:color w:val="005596"/>
          <w:sz w:val="20"/>
          <w:szCs w:val="20"/>
        </w:rPr>
      </w:pPr>
    </w:p>
    <w:p w14:paraId="3FD08492" w14:textId="3823C350" w:rsidR="0050397C" w:rsidRPr="0050397C" w:rsidRDefault="0050397C" w:rsidP="00916E0D">
      <w:pPr>
        <w:spacing w:line="300" w:lineRule="atLeast"/>
        <w:rPr>
          <w:sz w:val="20"/>
          <w:szCs w:val="20"/>
        </w:rPr>
      </w:pPr>
      <w:r w:rsidRPr="0050397C">
        <w:rPr>
          <w:b/>
          <w:color w:val="005596"/>
          <w:sz w:val="20"/>
          <w:szCs w:val="20"/>
        </w:rPr>
        <w:t>National Public Investment Target</w:t>
      </w:r>
    </w:p>
    <w:p w14:paraId="3D7AAC55" w14:textId="383FFF75" w:rsidR="0050397C" w:rsidRPr="0050397C" w:rsidRDefault="0050397C" w:rsidP="00916E0D">
      <w:pPr>
        <w:pStyle w:val="ListParagraph"/>
        <w:numPr>
          <w:ilvl w:val="0"/>
          <w:numId w:val="40"/>
        </w:numPr>
        <w:spacing w:after="0" w:line="300" w:lineRule="atLeast"/>
        <w:ind w:left="284" w:hanging="284"/>
        <w:jc w:val="both"/>
        <w:rPr>
          <w:rFonts w:asciiTheme="minorHAnsi" w:hAnsiTheme="minorHAnsi"/>
          <w:sz w:val="20"/>
          <w:szCs w:val="20"/>
        </w:rPr>
      </w:pPr>
      <w:r w:rsidRPr="0050397C">
        <w:rPr>
          <w:rFonts w:asciiTheme="minorHAnsi" w:hAnsiTheme="minorHAnsi"/>
          <w:sz w:val="20"/>
          <w:szCs w:val="20"/>
        </w:rPr>
        <w:t xml:space="preserve">Ireland has been spending relatively little on capital expenditure when compared with other EU countries. The industry in other EU countries has called for the introduction, via legislation, of </w:t>
      </w:r>
      <w:r w:rsidRPr="00F0027A">
        <w:rPr>
          <w:rFonts w:asciiTheme="minorHAnsi" w:hAnsiTheme="minorHAnsi"/>
          <w:b/>
          <w:sz w:val="20"/>
          <w:szCs w:val="20"/>
        </w:rPr>
        <w:t xml:space="preserve">national </w:t>
      </w:r>
      <w:r w:rsidR="00F0027A">
        <w:rPr>
          <w:rFonts w:asciiTheme="minorHAnsi" w:hAnsiTheme="minorHAnsi"/>
          <w:b/>
          <w:sz w:val="20"/>
          <w:szCs w:val="20"/>
        </w:rPr>
        <w:t xml:space="preserve">public </w:t>
      </w:r>
      <w:r w:rsidRPr="00F0027A">
        <w:rPr>
          <w:rFonts w:asciiTheme="minorHAnsi" w:hAnsiTheme="minorHAnsi"/>
          <w:b/>
          <w:sz w:val="20"/>
          <w:szCs w:val="20"/>
        </w:rPr>
        <w:t>investment targets</w:t>
      </w:r>
      <w:r w:rsidRPr="0050397C">
        <w:rPr>
          <w:rFonts w:asciiTheme="minorHAnsi" w:hAnsiTheme="minorHAnsi"/>
          <w:sz w:val="20"/>
          <w:szCs w:val="20"/>
        </w:rPr>
        <w:t xml:space="preserve"> (e.g. as a percentage of output). Such targets could, for example, ensure that capital expenditure grows in line with the economy. The Government could consider this policy approach as a means of ensuring that the economy and public investment move in unison. </w:t>
      </w:r>
    </w:p>
    <w:p w14:paraId="263203CF" w14:textId="77777777" w:rsidR="0050397C" w:rsidRDefault="0050397C" w:rsidP="00916E0D">
      <w:pPr>
        <w:spacing w:line="300" w:lineRule="atLeast"/>
        <w:ind w:left="426" w:hanging="426"/>
        <w:rPr>
          <w:sz w:val="20"/>
          <w:szCs w:val="20"/>
        </w:rPr>
      </w:pPr>
    </w:p>
    <w:p w14:paraId="67C8E840" w14:textId="77777777" w:rsidR="0050397C" w:rsidRPr="0050397C" w:rsidRDefault="0050397C" w:rsidP="00916E0D">
      <w:pPr>
        <w:pStyle w:val="DKMBodyText"/>
        <w:spacing w:line="300" w:lineRule="atLeast"/>
        <w:rPr>
          <w:rFonts w:asciiTheme="minorHAnsi" w:hAnsiTheme="minorHAnsi"/>
          <w:b/>
          <w:color w:val="005596"/>
          <w:sz w:val="20"/>
          <w:szCs w:val="20"/>
        </w:rPr>
      </w:pPr>
      <w:r w:rsidRPr="0050397C">
        <w:rPr>
          <w:rFonts w:asciiTheme="minorHAnsi" w:hAnsiTheme="minorHAnsi"/>
          <w:b/>
          <w:color w:val="005596"/>
          <w:sz w:val="20"/>
          <w:szCs w:val="20"/>
        </w:rPr>
        <w:t>Cross Departmental Committee for Monitoring Public Sector Projects</w:t>
      </w:r>
    </w:p>
    <w:p w14:paraId="2182C71A" w14:textId="024BA073" w:rsidR="0050397C" w:rsidRPr="0050397C" w:rsidRDefault="0050397C" w:rsidP="00916E0D">
      <w:pPr>
        <w:pStyle w:val="DKMBodyText"/>
        <w:numPr>
          <w:ilvl w:val="0"/>
          <w:numId w:val="40"/>
        </w:numPr>
        <w:spacing w:line="300" w:lineRule="atLeast"/>
        <w:ind w:left="284" w:hanging="284"/>
        <w:rPr>
          <w:rFonts w:asciiTheme="minorHAnsi" w:hAnsiTheme="minorHAnsi"/>
          <w:sz w:val="20"/>
          <w:szCs w:val="20"/>
        </w:rPr>
      </w:pPr>
      <w:r w:rsidRPr="0050397C">
        <w:rPr>
          <w:rFonts w:asciiTheme="minorHAnsi" w:hAnsiTheme="minorHAnsi"/>
          <w:sz w:val="20"/>
          <w:szCs w:val="20"/>
        </w:rPr>
        <w:t xml:space="preserve">With the decline in the Exchequer proportion of the PCP over the past decade, the exact identity and nature of capital projects is difficult to discern. </w:t>
      </w:r>
      <w:r w:rsidRPr="00F0027A">
        <w:rPr>
          <w:rFonts w:asciiTheme="minorHAnsi" w:hAnsiTheme="minorHAnsi"/>
          <w:b/>
          <w:sz w:val="20"/>
          <w:szCs w:val="20"/>
        </w:rPr>
        <w:t>A centralised database of all capital projects</w:t>
      </w:r>
      <w:r w:rsidRPr="0050397C">
        <w:rPr>
          <w:rFonts w:asciiTheme="minorHAnsi" w:hAnsiTheme="minorHAnsi"/>
          <w:sz w:val="20"/>
          <w:szCs w:val="20"/>
        </w:rPr>
        <w:t xml:space="preserve"> being undertaken by the Exchequer and by semi-state bodies would provide stakeholders such as the CIF with greater certainty and clarity about ongoing and future work. In this regard a Cross Departmental Committee should be established to monitor progress on public sector construction projects on a quarterly basis and address any barriers which are impeding the delivery of projects on time.  </w:t>
      </w:r>
    </w:p>
    <w:p w14:paraId="311D00D8" w14:textId="77777777" w:rsidR="0050397C" w:rsidRPr="0050397C" w:rsidRDefault="0050397C" w:rsidP="00916E0D">
      <w:pPr>
        <w:spacing w:line="300" w:lineRule="atLeast"/>
        <w:ind w:left="284" w:hanging="426"/>
        <w:rPr>
          <w:sz w:val="20"/>
          <w:szCs w:val="20"/>
        </w:rPr>
      </w:pPr>
    </w:p>
    <w:p w14:paraId="40B6347D" w14:textId="77777777" w:rsidR="0050397C" w:rsidRPr="0050397C" w:rsidRDefault="0050397C" w:rsidP="00916E0D">
      <w:pPr>
        <w:pStyle w:val="ListParagraph"/>
        <w:numPr>
          <w:ilvl w:val="0"/>
          <w:numId w:val="40"/>
        </w:numPr>
        <w:spacing w:after="0" w:line="300" w:lineRule="atLeast"/>
        <w:ind w:left="284" w:hanging="426"/>
        <w:jc w:val="both"/>
        <w:rPr>
          <w:rFonts w:asciiTheme="minorHAnsi" w:hAnsiTheme="minorHAnsi"/>
          <w:sz w:val="20"/>
          <w:szCs w:val="20"/>
        </w:rPr>
      </w:pPr>
      <w:r w:rsidRPr="0050397C">
        <w:rPr>
          <w:rFonts w:asciiTheme="minorHAnsi" w:hAnsiTheme="minorHAnsi"/>
          <w:sz w:val="20"/>
          <w:szCs w:val="20"/>
        </w:rPr>
        <w:t xml:space="preserve">Whilst the Capital Plan provides for an allocation of </w:t>
      </w:r>
      <w:r w:rsidRPr="00F0027A">
        <w:rPr>
          <w:rFonts w:asciiTheme="minorHAnsi" w:hAnsiTheme="minorHAnsi"/>
          <w:b/>
          <w:sz w:val="20"/>
          <w:szCs w:val="20"/>
        </w:rPr>
        <w:t xml:space="preserve">funding to higher education </w:t>
      </w:r>
      <w:r w:rsidRPr="00F0027A">
        <w:rPr>
          <w:rFonts w:asciiTheme="minorHAnsi" w:hAnsiTheme="minorHAnsi"/>
          <w:sz w:val="20"/>
          <w:szCs w:val="20"/>
        </w:rPr>
        <w:t>PPP</w:t>
      </w:r>
      <w:r w:rsidRPr="0050397C">
        <w:rPr>
          <w:rFonts w:asciiTheme="minorHAnsi" w:hAnsiTheme="minorHAnsi"/>
          <w:sz w:val="20"/>
          <w:szCs w:val="20"/>
        </w:rPr>
        <w:t xml:space="preserve"> projects, there is general concern that the funding being allocated to the sector will not be sufficient to meet demand. Although an expansion of university places will be required to keep pace with population changes from 2021 to at least 2026, the Capital Plan does not appear to have accounted for this increase. The Government should re-evaluate this issue in the mid-term review of the Capital Plan.</w:t>
      </w:r>
    </w:p>
    <w:p w14:paraId="290866F8" w14:textId="77777777" w:rsidR="0050397C" w:rsidRPr="0050397C" w:rsidRDefault="0050397C" w:rsidP="00916E0D">
      <w:pPr>
        <w:spacing w:line="300" w:lineRule="atLeast"/>
        <w:ind w:left="284" w:hanging="426"/>
        <w:rPr>
          <w:sz w:val="20"/>
          <w:szCs w:val="20"/>
        </w:rPr>
      </w:pPr>
    </w:p>
    <w:p w14:paraId="4262FD7A" w14:textId="77777777" w:rsidR="0050397C" w:rsidRPr="0050397C" w:rsidRDefault="0050397C" w:rsidP="00916E0D">
      <w:pPr>
        <w:pStyle w:val="ListParagraph"/>
        <w:numPr>
          <w:ilvl w:val="0"/>
          <w:numId w:val="40"/>
        </w:numPr>
        <w:spacing w:after="0" w:line="300" w:lineRule="atLeast"/>
        <w:ind w:left="284" w:hanging="426"/>
        <w:jc w:val="both"/>
        <w:rPr>
          <w:rFonts w:asciiTheme="minorHAnsi" w:hAnsiTheme="minorHAnsi"/>
          <w:sz w:val="20"/>
          <w:szCs w:val="20"/>
        </w:rPr>
      </w:pPr>
      <w:r w:rsidRPr="0050397C">
        <w:rPr>
          <w:rFonts w:asciiTheme="minorHAnsi" w:hAnsiTheme="minorHAnsi"/>
          <w:sz w:val="20"/>
          <w:szCs w:val="20"/>
        </w:rPr>
        <w:t xml:space="preserve">The absence of the </w:t>
      </w:r>
      <w:r w:rsidRPr="00F0027A">
        <w:rPr>
          <w:rFonts w:asciiTheme="minorHAnsi" w:hAnsiTheme="minorHAnsi"/>
          <w:b/>
          <w:sz w:val="20"/>
          <w:szCs w:val="20"/>
        </w:rPr>
        <w:t>proposed Cork-Limerick motorway (M20)</w:t>
      </w:r>
      <w:r w:rsidRPr="0050397C">
        <w:rPr>
          <w:rFonts w:asciiTheme="minorHAnsi" w:hAnsiTheme="minorHAnsi"/>
          <w:sz w:val="20"/>
          <w:szCs w:val="20"/>
        </w:rPr>
        <w:t xml:space="preserve"> and an </w:t>
      </w:r>
      <w:r w:rsidRPr="00F0027A">
        <w:rPr>
          <w:rFonts w:asciiTheme="minorHAnsi" w:hAnsiTheme="minorHAnsi"/>
          <w:b/>
          <w:sz w:val="20"/>
          <w:szCs w:val="20"/>
        </w:rPr>
        <w:t>outer Dublin Ring</w:t>
      </w:r>
      <w:r w:rsidRPr="0050397C">
        <w:rPr>
          <w:rFonts w:asciiTheme="minorHAnsi" w:hAnsiTheme="minorHAnsi"/>
          <w:sz w:val="20"/>
          <w:szCs w:val="20"/>
        </w:rPr>
        <w:t xml:space="preserve"> </w:t>
      </w:r>
      <w:r w:rsidRPr="00F0027A">
        <w:rPr>
          <w:rFonts w:asciiTheme="minorHAnsi" w:hAnsiTheme="minorHAnsi"/>
          <w:b/>
          <w:sz w:val="20"/>
          <w:szCs w:val="20"/>
        </w:rPr>
        <w:t>Road</w:t>
      </w:r>
      <w:r w:rsidRPr="0050397C">
        <w:rPr>
          <w:rFonts w:asciiTheme="minorHAnsi" w:hAnsiTheme="minorHAnsi"/>
          <w:sz w:val="20"/>
          <w:szCs w:val="20"/>
        </w:rPr>
        <w:t xml:space="preserve"> ((Leinster Orbital Route) from the Capital Plan has been put down to cost reasons. Given the strategic importance of the former and the significant pressure on the latter, we would welcome a review of why these projects are excluded from the Capital Plan. </w:t>
      </w:r>
    </w:p>
    <w:p w14:paraId="6AA312CD" w14:textId="77777777" w:rsidR="0050397C" w:rsidRPr="0050397C" w:rsidRDefault="0050397C" w:rsidP="00916E0D">
      <w:pPr>
        <w:spacing w:line="300" w:lineRule="atLeast"/>
        <w:rPr>
          <w:b/>
          <w:color w:val="005596"/>
          <w:sz w:val="20"/>
          <w:szCs w:val="20"/>
        </w:rPr>
      </w:pPr>
    </w:p>
    <w:p w14:paraId="0D152861" w14:textId="77777777" w:rsidR="0050397C" w:rsidRPr="0050397C" w:rsidRDefault="0050397C" w:rsidP="00916E0D">
      <w:pPr>
        <w:spacing w:line="300" w:lineRule="atLeast"/>
        <w:rPr>
          <w:b/>
          <w:color w:val="005596"/>
          <w:sz w:val="20"/>
          <w:szCs w:val="20"/>
        </w:rPr>
      </w:pPr>
      <w:r w:rsidRPr="0050397C">
        <w:rPr>
          <w:b/>
          <w:color w:val="005596"/>
          <w:sz w:val="20"/>
          <w:szCs w:val="20"/>
        </w:rPr>
        <w:t>Examine scope to use the Rainy Day Fund for infrastructure Investment</w:t>
      </w:r>
    </w:p>
    <w:p w14:paraId="7FBAC5E9" w14:textId="77777777" w:rsidR="0050397C" w:rsidRPr="0050397C" w:rsidRDefault="0050397C" w:rsidP="00916E0D">
      <w:pPr>
        <w:pStyle w:val="ListParagraph"/>
        <w:numPr>
          <w:ilvl w:val="0"/>
          <w:numId w:val="40"/>
        </w:numPr>
        <w:spacing w:after="0" w:line="300" w:lineRule="atLeast"/>
        <w:ind w:left="284"/>
        <w:jc w:val="both"/>
        <w:rPr>
          <w:rFonts w:asciiTheme="minorHAnsi" w:hAnsiTheme="minorHAnsi"/>
          <w:sz w:val="20"/>
          <w:szCs w:val="20"/>
        </w:rPr>
      </w:pPr>
      <w:r w:rsidRPr="0050397C">
        <w:rPr>
          <w:rFonts w:asciiTheme="minorHAnsi" w:hAnsiTheme="minorHAnsi"/>
          <w:sz w:val="20"/>
          <w:szCs w:val="20"/>
        </w:rPr>
        <w:t xml:space="preserve">The Government plans to allocate €1bn from the Fiscal Space to a Rainy Day Fund on an annual basis from 2019. Whilst this measure could act as a buffer against future shocks to the economy and the public finances, the Government could </w:t>
      </w:r>
      <w:r w:rsidRPr="00F0027A">
        <w:rPr>
          <w:rFonts w:asciiTheme="minorHAnsi" w:hAnsiTheme="minorHAnsi"/>
          <w:b/>
          <w:sz w:val="20"/>
          <w:szCs w:val="20"/>
        </w:rPr>
        <w:t>consider postponing the allocation for 2019</w:t>
      </w:r>
      <w:r w:rsidRPr="0050397C">
        <w:rPr>
          <w:rFonts w:asciiTheme="minorHAnsi" w:hAnsiTheme="minorHAnsi"/>
          <w:sz w:val="20"/>
          <w:szCs w:val="20"/>
        </w:rPr>
        <w:t>, at least. This would allow for greater levels of public capital investment in 2019 than that which is currently planned. Where there are good projects that earn a return and add to the productive potential of the economy, there should be scope to use the rainy day fund.</w:t>
      </w:r>
    </w:p>
    <w:p w14:paraId="3B477015" w14:textId="77777777" w:rsidR="0050397C" w:rsidRPr="0050397C" w:rsidRDefault="0050397C" w:rsidP="00916E0D">
      <w:pPr>
        <w:spacing w:line="300" w:lineRule="atLeast"/>
        <w:ind w:left="284" w:hanging="426"/>
        <w:rPr>
          <w:sz w:val="20"/>
          <w:szCs w:val="20"/>
        </w:rPr>
      </w:pPr>
    </w:p>
    <w:p w14:paraId="3EA3B9F5" w14:textId="58040262" w:rsidR="0050397C" w:rsidRPr="0050397C" w:rsidRDefault="0050397C" w:rsidP="00916E0D">
      <w:pPr>
        <w:spacing w:line="300" w:lineRule="atLeast"/>
        <w:rPr>
          <w:b/>
          <w:color w:val="005596"/>
          <w:sz w:val="20"/>
          <w:szCs w:val="20"/>
        </w:rPr>
      </w:pPr>
      <w:r w:rsidRPr="0050397C">
        <w:rPr>
          <w:b/>
          <w:color w:val="005596"/>
          <w:sz w:val="20"/>
          <w:szCs w:val="20"/>
        </w:rPr>
        <w:t>Calculation of the Fiscal Space</w:t>
      </w:r>
    </w:p>
    <w:p w14:paraId="2A21CE29" w14:textId="23DA1530" w:rsidR="0050397C" w:rsidRPr="0050397C" w:rsidRDefault="0050397C" w:rsidP="00916E0D">
      <w:pPr>
        <w:pStyle w:val="ListParagraph"/>
        <w:numPr>
          <w:ilvl w:val="0"/>
          <w:numId w:val="40"/>
        </w:numPr>
        <w:spacing w:after="0" w:line="300" w:lineRule="atLeast"/>
        <w:ind w:left="284"/>
        <w:jc w:val="both"/>
        <w:rPr>
          <w:rFonts w:asciiTheme="minorHAnsi" w:hAnsiTheme="minorHAnsi"/>
          <w:sz w:val="20"/>
          <w:szCs w:val="20"/>
        </w:rPr>
      </w:pPr>
      <w:r w:rsidRPr="0050397C">
        <w:rPr>
          <w:rFonts w:asciiTheme="minorHAnsi" w:hAnsiTheme="minorHAnsi"/>
          <w:sz w:val="20"/>
          <w:szCs w:val="20"/>
        </w:rPr>
        <w:t>The CIF understands that a number of commentators have criticised the EU Commission’s methodology with respect to calculating the fiscal space available to the Government. I</w:t>
      </w:r>
      <w:r w:rsidR="00E27E58">
        <w:rPr>
          <w:rFonts w:asciiTheme="minorHAnsi" w:hAnsiTheme="minorHAnsi"/>
          <w:sz w:val="20"/>
          <w:szCs w:val="20"/>
        </w:rPr>
        <w:t>n</w:t>
      </w:r>
      <w:r w:rsidRPr="0050397C">
        <w:rPr>
          <w:rFonts w:asciiTheme="minorHAnsi" w:hAnsiTheme="minorHAnsi"/>
          <w:sz w:val="20"/>
          <w:szCs w:val="20"/>
        </w:rPr>
        <w:t xml:space="preserve"> the methodology places too great an emphasis on recent unemployment rates, which in Ireland’s case were particularly high. The Government could request that the Commission </w:t>
      </w:r>
      <w:r w:rsidRPr="00F0027A">
        <w:rPr>
          <w:rFonts w:asciiTheme="minorHAnsi" w:hAnsiTheme="minorHAnsi"/>
          <w:b/>
          <w:sz w:val="20"/>
          <w:szCs w:val="20"/>
        </w:rPr>
        <w:t>reassesses the merits of this approach for countries that experienced significant unemployment in the recent past</w:t>
      </w:r>
      <w:r w:rsidRPr="0050397C">
        <w:rPr>
          <w:rFonts w:asciiTheme="minorHAnsi" w:hAnsiTheme="minorHAnsi"/>
          <w:sz w:val="20"/>
          <w:szCs w:val="20"/>
        </w:rPr>
        <w:t xml:space="preserve">. </w:t>
      </w:r>
    </w:p>
    <w:p w14:paraId="6DEED2C8" w14:textId="77777777" w:rsidR="0050397C" w:rsidRPr="0050397C" w:rsidRDefault="0050397C" w:rsidP="00916E0D">
      <w:pPr>
        <w:spacing w:line="300" w:lineRule="atLeast"/>
        <w:ind w:left="284" w:hanging="426"/>
        <w:rPr>
          <w:sz w:val="20"/>
          <w:szCs w:val="20"/>
        </w:rPr>
      </w:pPr>
    </w:p>
    <w:p w14:paraId="7E194554" w14:textId="77777777" w:rsidR="0050397C" w:rsidRPr="0050397C" w:rsidRDefault="0050397C" w:rsidP="00916E0D">
      <w:pPr>
        <w:pStyle w:val="ListParagraph"/>
        <w:numPr>
          <w:ilvl w:val="0"/>
          <w:numId w:val="40"/>
        </w:numPr>
        <w:spacing w:after="0" w:line="300" w:lineRule="atLeast"/>
        <w:ind w:left="284"/>
        <w:jc w:val="both"/>
        <w:rPr>
          <w:rFonts w:asciiTheme="minorHAnsi" w:hAnsiTheme="minorHAnsi"/>
          <w:sz w:val="20"/>
          <w:szCs w:val="20"/>
        </w:rPr>
      </w:pPr>
      <w:r w:rsidRPr="0050397C">
        <w:rPr>
          <w:rFonts w:asciiTheme="minorHAnsi" w:hAnsiTheme="minorHAnsi"/>
          <w:sz w:val="20"/>
          <w:szCs w:val="20"/>
        </w:rPr>
        <w:t xml:space="preserve">In 2015, the Commission clarified the flexibility that is available to Member States around the fiscal rules: namely, these are the </w:t>
      </w:r>
      <w:r w:rsidRPr="00F0027A">
        <w:rPr>
          <w:rFonts w:asciiTheme="minorHAnsi" w:hAnsiTheme="minorHAnsi"/>
          <w:b/>
          <w:sz w:val="20"/>
          <w:szCs w:val="20"/>
        </w:rPr>
        <w:t>Structural Reform Clause</w:t>
      </w:r>
      <w:r w:rsidRPr="0050397C">
        <w:rPr>
          <w:rFonts w:asciiTheme="minorHAnsi" w:hAnsiTheme="minorHAnsi"/>
          <w:sz w:val="20"/>
          <w:szCs w:val="20"/>
        </w:rPr>
        <w:t xml:space="preserve"> and the </w:t>
      </w:r>
      <w:r w:rsidRPr="00F0027A">
        <w:rPr>
          <w:rFonts w:asciiTheme="minorHAnsi" w:hAnsiTheme="minorHAnsi"/>
          <w:sz w:val="20"/>
          <w:szCs w:val="20"/>
        </w:rPr>
        <w:t>Investment Clause</w:t>
      </w:r>
      <w:r w:rsidRPr="0050397C">
        <w:rPr>
          <w:rFonts w:asciiTheme="minorHAnsi" w:hAnsiTheme="minorHAnsi"/>
          <w:sz w:val="20"/>
          <w:szCs w:val="20"/>
        </w:rPr>
        <w:t xml:space="preserve">. At present, Ireland would be eligible to invoke the former but not the latter, and significant structural reforms could be undertaken in Ireland. The Government should seek to invoke this clause as part of its submission of its budgetary plans for 2018 to the Commission and we encourage consideration of same. </w:t>
      </w:r>
    </w:p>
    <w:p w14:paraId="37872D2C" w14:textId="77777777" w:rsidR="00916E0D" w:rsidRPr="0050397C" w:rsidRDefault="00916E0D" w:rsidP="00916E0D">
      <w:pPr>
        <w:pStyle w:val="ListParagraph"/>
        <w:spacing w:after="0" w:line="300" w:lineRule="atLeast"/>
        <w:ind w:left="284"/>
        <w:rPr>
          <w:rFonts w:asciiTheme="minorHAnsi" w:hAnsiTheme="minorHAnsi"/>
          <w:sz w:val="20"/>
          <w:szCs w:val="20"/>
        </w:rPr>
      </w:pPr>
    </w:p>
    <w:p w14:paraId="633E1E13" w14:textId="77777777" w:rsidR="0050397C" w:rsidRPr="0050397C" w:rsidRDefault="0050397C" w:rsidP="00916E0D">
      <w:pPr>
        <w:spacing w:line="300" w:lineRule="atLeast"/>
        <w:rPr>
          <w:b/>
          <w:color w:val="005596"/>
          <w:sz w:val="20"/>
          <w:szCs w:val="20"/>
        </w:rPr>
      </w:pPr>
      <w:r w:rsidRPr="0050397C">
        <w:rPr>
          <w:b/>
          <w:color w:val="005596"/>
          <w:sz w:val="20"/>
          <w:szCs w:val="20"/>
        </w:rPr>
        <w:t>Leverage EIB Office</w:t>
      </w:r>
    </w:p>
    <w:p w14:paraId="6114A075" w14:textId="77777777" w:rsidR="0050397C" w:rsidRPr="0050397C" w:rsidRDefault="0050397C" w:rsidP="00916E0D">
      <w:pPr>
        <w:pStyle w:val="ListParagraph"/>
        <w:numPr>
          <w:ilvl w:val="0"/>
          <w:numId w:val="40"/>
        </w:numPr>
        <w:spacing w:after="0" w:line="300" w:lineRule="atLeast"/>
        <w:ind w:left="284"/>
        <w:jc w:val="both"/>
        <w:rPr>
          <w:rFonts w:asciiTheme="minorHAnsi" w:hAnsiTheme="minorHAnsi"/>
          <w:sz w:val="20"/>
          <w:szCs w:val="20"/>
        </w:rPr>
      </w:pPr>
      <w:r w:rsidRPr="0050397C">
        <w:rPr>
          <w:rFonts w:asciiTheme="minorHAnsi" w:hAnsiTheme="minorHAnsi"/>
          <w:sz w:val="20"/>
          <w:szCs w:val="20"/>
        </w:rPr>
        <w:t xml:space="preserve">Ireland has been a recipient of European Investment Bank (EIB) funding for a number of decades and in 2016 13 projects received total funding of €825m. This stream of funding is of huge value to the economy and Government efforts to secure EIB co-financing of major projects should continue. However, the flow of funds is uncertain and competition has increased in recent years (since Romania, Bulgaria and Croatia joined the EU). The CIF encourages the Government to </w:t>
      </w:r>
      <w:r w:rsidRPr="00F0027A">
        <w:rPr>
          <w:rFonts w:asciiTheme="minorHAnsi" w:hAnsiTheme="minorHAnsi"/>
          <w:b/>
          <w:sz w:val="20"/>
          <w:szCs w:val="20"/>
        </w:rPr>
        <w:t>leverage the presence of the new EIB office in Dublin</w:t>
      </w:r>
      <w:r w:rsidRPr="0050397C">
        <w:rPr>
          <w:rFonts w:asciiTheme="minorHAnsi" w:hAnsiTheme="minorHAnsi"/>
          <w:sz w:val="20"/>
          <w:szCs w:val="20"/>
        </w:rPr>
        <w:t xml:space="preserve"> in its efforts to find ways to fund major infrastructure projects.</w:t>
      </w:r>
    </w:p>
    <w:p w14:paraId="6F5C955F" w14:textId="77777777" w:rsidR="0050397C" w:rsidRPr="0050397C" w:rsidRDefault="0050397C" w:rsidP="00916E0D">
      <w:pPr>
        <w:spacing w:line="300" w:lineRule="atLeast"/>
        <w:ind w:left="284" w:hanging="426"/>
        <w:rPr>
          <w:sz w:val="20"/>
          <w:szCs w:val="20"/>
        </w:rPr>
      </w:pPr>
    </w:p>
    <w:p w14:paraId="4DDB5ACB" w14:textId="77777777" w:rsidR="0050397C" w:rsidRPr="0050397C" w:rsidRDefault="0050397C" w:rsidP="00916E0D">
      <w:pPr>
        <w:spacing w:line="300" w:lineRule="atLeast"/>
        <w:rPr>
          <w:b/>
          <w:color w:val="005596"/>
          <w:sz w:val="20"/>
          <w:szCs w:val="20"/>
        </w:rPr>
      </w:pPr>
      <w:r w:rsidRPr="0050397C">
        <w:rPr>
          <w:b/>
          <w:color w:val="005596"/>
          <w:sz w:val="20"/>
          <w:szCs w:val="20"/>
        </w:rPr>
        <w:t>Review PPP Pre-procurement Process</w:t>
      </w:r>
    </w:p>
    <w:p w14:paraId="7336EC31" w14:textId="0A37EAF9" w:rsidR="0050397C" w:rsidRPr="00F0027A" w:rsidRDefault="0050397C" w:rsidP="00916E0D">
      <w:pPr>
        <w:pStyle w:val="ListParagraph"/>
        <w:numPr>
          <w:ilvl w:val="0"/>
          <w:numId w:val="40"/>
        </w:numPr>
        <w:spacing w:after="0" w:line="300" w:lineRule="atLeast"/>
        <w:ind w:left="284"/>
        <w:jc w:val="both"/>
        <w:rPr>
          <w:rFonts w:asciiTheme="minorHAnsi" w:eastAsiaTheme="minorEastAsia" w:hAnsiTheme="minorHAnsi" w:cstheme="minorBidi"/>
          <w:sz w:val="20"/>
          <w:szCs w:val="20"/>
          <w:lang w:eastAsia="en-IE"/>
        </w:rPr>
      </w:pPr>
      <w:r w:rsidRPr="0050397C">
        <w:rPr>
          <w:rFonts w:asciiTheme="minorHAnsi" w:hAnsiTheme="minorHAnsi" w:cs="Arial"/>
          <w:sz w:val="20"/>
          <w:szCs w:val="20"/>
        </w:rPr>
        <w:t xml:space="preserve">PPP arrangements provide for long-term strategic planning of infrastructure projects. They provide an opportunity to fund major long-term infrastructure projects competitively off balance sheet while also facilitating social and economic development. In the context of the fiscal constraints which exist, it is understood that a group has recently been established within DEPR to review the future of PPPs. This group should </w:t>
      </w:r>
      <w:r w:rsidRPr="00F0027A">
        <w:rPr>
          <w:rFonts w:asciiTheme="minorHAnsi" w:hAnsiTheme="minorHAnsi" w:cs="Arial"/>
          <w:b/>
          <w:sz w:val="20"/>
          <w:szCs w:val="20"/>
        </w:rPr>
        <w:t>investigate the timely pre-procurement process involved on PPP projects to improve their efficiency</w:t>
      </w:r>
      <w:r w:rsidR="00F0027A">
        <w:rPr>
          <w:rFonts w:asciiTheme="minorHAnsi" w:hAnsiTheme="minorHAnsi" w:cs="Arial"/>
          <w:b/>
          <w:sz w:val="20"/>
          <w:szCs w:val="20"/>
        </w:rPr>
        <w:t>.</w:t>
      </w:r>
      <w:r w:rsidRPr="00F0027A">
        <w:rPr>
          <w:rFonts w:asciiTheme="minorHAnsi" w:hAnsiTheme="minorHAnsi" w:cs="Arial"/>
          <w:b/>
          <w:sz w:val="20"/>
          <w:szCs w:val="20"/>
        </w:rPr>
        <w:t xml:space="preserve"> </w:t>
      </w:r>
      <w:r w:rsidRPr="00F0027A">
        <w:rPr>
          <w:rFonts w:asciiTheme="minorHAnsi" w:eastAsiaTheme="minorEastAsia" w:hAnsiTheme="minorHAnsi" w:cstheme="minorBidi"/>
          <w:sz w:val="20"/>
          <w:szCs w:val="20"/>
          <w:lang w:eastAsia="en-IE"/>
        </w:rPr>
        <w:t xml:space="preserve"> </w:t>
      </w:r>
    </w:p>
    <w:p w14:paraId="1D101AD3" w14:textId="77777777" w:rsidR="0050397C" w:rsidRPr="0050397C" w:rsidRDefault="0050397C" w:rsidP="00916E0D">
      <w:pPr>
        <w:spacing w:line="300" w:lineRule="atLeast"/>
        <w:ind w:left="284" w:hanging="426"/>
        <w:rPr>
          <w:sz w:val="20"/>
          <w:szCs w:val="20"/>
        </w:rPr>
      </w:pPr>
    </w:p>
    <w:p w14:paraId="0DE1D06B" w14:textId="77777777" w:rsidR="0050397C" w:rsidRPr="0050397C" w:rsidRDefault="0050397C" w:rsidP="00916E0D">
      <w:pPr>
        <w:spacing w:line="300" w:lineRule="atLeast"/>
        <w:rPr>
          <w:b/>
          <w:color w:val="005596"/>
          <w:sz w:val="20"/>
          <w:szCs w:val="20"/>
        </w:rPr>
      </w:pPr>
      <w:r w:rsidRPr="0050397C">
        <w:rPr>
          <w:b/>
          <w:color w:val="005596"/>
          <w:sz w:val="20"/>
          <w:szCs w:val="20"/>
        </w:rPr>
        <w:t>Explore scope for EFSI funding</w:t>
      </w:r>
    </w:p>
    <w:p w14:paraId="2B056274" w14:textId="77777777" w:rsidR="0050397C" w:rsidRPr="0050397C" w:rsidRDefault="0050397C" w:rsidP="00916E0D">
      <w:pPr>
        <w:pStyle w:val="ListParagraph"/>
        <w:numPr>
          <w:ilvl w:val="0"/>
          <w:numId w:val="40"/>
        </w:numPr>
        <w:spacing w:after="0" w:line="300" w:lineRule="atLeast"/>
        <w:ind w:left="284"/>
        <w:jc w:val="both"/>
        <w:rPr>
          <w:rFonts w:asciiTheme="minorHAnsi" w:hAnsiTheme="minorHAnsi"/>
          <w:sz w:val="20"/>
          <w:szCs w:val="20"/>
        </w:rPr>
      </w:pPr>
      <w:r w:rsidRPr="0050397C">
        <w:rPr>
          <w:rFonts w:asciiTheme="minorHAnsi" w:hAnsiTheme="minorHAnsi"/>
          <w:sz w:val="20"/>
          <w:szCs w:val="20"/>
        </w:rPr>
        <w:t xml:space="preserve">Every effort should be made to explore the scope to secure as much additional funding as possible for infrastructure investment from the </w:t>
      </w:r>
      <w:r w:rsidRPr="00F0027A">
        <w:rPr>
          <w:rFonts w:asciiTheme="minorHAnsi" w:hAnsiTheme="minorHAnsi"/>
          <w:b/>
          <w:sz w:val="20"/>
          <w:szCs w:val="20"/>
        </w:rPr>
        <w:t>European Fund for Strategic Investment</w:t>
      </w:r>
      <w:r w:rsidRPr="0050397C">
        <w:rPr>
          <w:rFonts w:asciiTheme="minorHAnsi" w:hAnsiTheme="minorHAnsi"/>
          <w:sz w:val="20"/>
          <w:szCs w:val="20"/>
        </w:rPr>
        <w:t xml:space="preserve"> (EFSI). Key areas which the EFSI fund include transport, environment, health, energy and social housing. In regard to the latter the ESFI has set up a High Level Task Force to develop financing models for social infrastructure, an area in which the EFSI is keen to finance projects in the future and is already doing so in other countries.</w:t>
      </w:r>
    </w:p>
    <w:p w14:paraId="089EBDDB" w14:textId="77777777" w:rsidR="0050397C" w:rsidRPr="0050397C" w:rsidRDefault="0050397C" w:rsidP="00916E0D">
      <w:pPr>
        <w:spacing w:line="300" w:lineRule="atLeast"/>
        <w:ind w:left="284"/>
        <w:rPr>
          <w:sz w:val="20"/>
          <w:szCs w:val="20"/>
        </w:rPr>
      </w:pPr>
    </w:p>
    <w:p w14:paraId="4CE6397F" w14:textId="77777777" w:rsidR="0050397C" w:rsidRPr="0050397C" w:rsidRDefault="0050397C" w:rsidP="00916E0D">
      <w:pPr>
        <w:pStyle w:val="DKMBody"/>
        <w:spacing w:line="300" w:lineRule="atLeast"/>
        <w:rPr>
          <w:b/>
          <w:color w:val="005596"/>
          <w:sz w:val="20"/>
          <w:szCs w:val="20"/>
        </w:rPr>
      </w:pPr>
      <w:r w:rsidRPr="0050397C">
        <w:rPr>
          <w:b/>
          <w:color w:val="005596"/>
          <w:sz w:val="20"/>
          <w:szCs w:val="20"/>
        </w:rPr>
        <w:t>Skills Capacity</w:t>
      </w:r>
    </w:p>
    <w:p w14:paraId="3738AD28" w14:textId="77777777" w:rsidR="0050397C" w:rsidRPr="0050397C" w:rsidRDefault="0050397C" w:rsidP="00916E0D">
      <w:pPr>
        <w:pStyle w:val="DKMBody"/>
        <w:numPr>
          <w:ilvl w:val="0"/>
          <w:numId w:val="40"/>
        </w:numPr>
        <w:spacing w:line="300" w:lineRule="atLeast"/>
        <w:ind w:left="284"/>
        <w:rPr>
          <w:sz w:val="20"/>
          <w:szCs w:val="20"/>
        </w:rPr>
      </w:pPr>
      <w:r w:rsidRPr="00F0027A">
        <w:rPr>
          <w:b/>
          <w:sz w:val="20"/>
          <w:szCs w:val="20"/>
        </w:rPr>
        <w:t>Apprenticeship training that is structured on a regional basis</w:t>
      </w:r>
      <w:r w:rsidRPr="0050397C">
        <w:rPr>
          <w:sz w:val="20"/>
          <w:szCs w:val="20"/>
        </w:rPr>
        <w:t>, in light of the demands of the relevant area, would produce tradespeople who could remain in their communities and regions and reduce the incentive to relocate to major cities. The result should be better qualified tradespeople living across a broader geographic spread, which should secure the sustainability of the construction skills base in the long-term. This will be important in the context of the forthcoming National Planning Framework which is expected to have more balanced regional development as one of its key objectives.</w:t>
      </w:r>
    </w:p>
    <w:p w14:paraId="1457A037" w14:textId="77777777" w:rsidR="0050397C" w:rsidRPr="0050397C" w:rsidRDefault="0050397C" w:rsidP="00916E0D">
      <w:pPr>
        <w:pStyle w:val="DKMBody"/>
        <w:spacing w:line="300" w:lineRule="atLeast"/>
        <w:ind w:left="284" w:hanging="426"/>
        <w:rPr>
          <w:sz w:val="20"/>
          <w:szCs w:val="20"/>
        </w:rPr>
      </w:pPr>
    </w:p>
    <w:p w14:paraId="00AA18CE" w14:textId="77777777" w:rsidR="0050397C" w:rsidRPr="0050397C" w:rsidRDefault="0050397C" w:rsidP="00916E0D">
      <w:pPr>
        <w:pStyle w:val="DKMBody"/>
        <w:numPr>
          <w:ilvl w:val="0"/>
          <w:numId w:val="40"/>
        </w:numPr>
        <w:spacing w:line="300" w:lineRule="atLeast"/>
        <w:ind w:left="284"/>
        <w:rPr>
          <w:sz w:val="20"/>
          <w:szCs w:val="20"/>
        </w:rPr>
      </w:pPr>
      <w:r w:rsidRPr="0050397C">
        <w:rPr>
          <w:sz w:val="20"/>
          <w:szCs w:val="20"/>
        </w:rPr>
        <w:t xml:space="preserve">The recommendations of the CIF’s Construction Skills report regarding the enhancement of the skill’s capacity of the industry should be implemented and Government should </w:t>
      </w:r>
      <w:r w:rsidRPr="00F0027A">
        <w:rPr>
          <w:b/>
          <w:sz w:val="20"/>
          <w:szCs w:val="20"/>
        </w:rPr>
        <w:t>ensure that adequate funding is in place for Solas and the Education and Training Board network to deliver the requisite numbers of highly skilled apprentices to serve the industry over the long-term.</w:t>
      </w:r>
      <w:r w:rsidRPr="0050397C">
        <w:rPr>
          <w:sz w:val="20"/>
          <w:szCs w:val="20"/>
        </w:rPr>
        <w:t xml:space="preserve">  Thereafter a strong pipeline of projects will be required to ensure that those trained remain in the Irish construction sector and are not drawn towards the UK where a significant skills gap is projected in the medium-term.   </w:t>
      </w:r>
    </w:p>
    <w:p w14:paraId="576708FD" w14:textId="77777777" w:rsidR="00E7663E" w:rsidRDefault="00E7663E" w:rsidP="00916E0D">
      <w:pPr>
        <w:pStyle w:val="DKMBody"/>
        <w:spacing w:line="300" w:lineRule="atLeast"/>
        <w:rPr>
          <w:b/>
          <w:color w:val="005596"/>
          <w:sz w:val="20"/>
          <w:szCs w:val="20"/>
        </w:rPr>
      </w:pPr>
    </w:p>
    <w:p w14:paraId="707F2C05" w14:textId="43EB0542" w:rsidR="0050397C" w:rsidRPr="0050397C" w:rsidRDefault="0050397C" w:rsidP="00916E0D">
      <w:pPr>
        <w:pStyle w:val="DKMBody"/>
        <w:spacing w:line="300" w:lineRule="atLeast"/>
        <w:rPr>
          <w:b/>
          <w:color w:val="005596"/>
          <w:sz w:val="20"/>
          <w:szCs w:val="20"/>
        </w:rPr>
      </w:pPr>
      <w:r w:rsidRPr="0050397C">
        <w:rPr>
          <w:b/>
          <w:color w:val="005596"/>
          <w:sz w:val="20"/>
          <w:szCs w:val="20"/>
        </w:rPr>
        <w:t>Construction Costs</w:t>
      </w:r>
    </w:p>
    <w:p w14:paraId="59C8BA42" w14:textId="2A36E982" w:rsidR="0050397C" w:rsidRPr="00F0027A" w:rsidRDefault="0050397C" w:rsidP="00916E0D">
      <w:pPr>
        <w:pStyle w:val="DKMBody"/>
        <w:numPr>
          <w:ilvl w:val="0"/>
          <w:numId w:val="40"/>
        </w:numPr>
        <w:spacing w:line="300" w:lineRule="atLeast"/>
        <w:ind w:left="284"/>
        <w:rPr>
          <w:b/>
          <w:sz w:val="20"/>
          <w:szCs w:val="20"/>
        </w:rPr>
      </w:pPr>
      <w:r w:rsidRPr="0050397C">
        <w:rPr>
          <w:sz w:val="20"/>
          <w:szCs w:val="20"/>
        </w:rPr>
        <w:t xml:space="preserve">A Housebuilding Cost Working Group has been established, comprising stakeholders from Government and industry, to determine how (building and non-building) costs can be reduced so that more affordable supply can be brought to the market.   In line with a 2015 recommendation of the National Competitiveness Council, which was never acted upon, it is recommended that the </w:t>
      </w:r>
      <w:r w:rsidRPr="00F0027A">
        <w:rPr>
          <w:b/>
          <w:sz w:val="20"/>
          <w:szCs w:val="20"/>
        </w:rPr>
        <w:t>Housebuilding Cost Working Group also undertake a rigorous benchmarking exercise to determine whether Irish residential construction (building and non-building) costs are out of line with those of our key competitors.</w:t>
      </w:r>
    </w:p>
    <w:p w14:paraId="18FEE3EA" w14:textId="77777777" w:rsidR="006224B8" w:rsidRPr="0050397C" w:rsidRDefault="006224B8" w:rsidP="00916E0D">
      <w:pPr>
        <w:pStyle w:val="DKMBody"/>
        <w:spacing w:line="300" w:lineRule="atLeast"/>
        <w:ind w:left="284" w:hanging="426"/>
        <w:rPr>
          <w:sz w:val="20"/>
          <w:szCs w:val="20"/>
        </w:rPr>
      </w:pPr>
    </w:p>
    <w:p w14:paraId="7906904F" w14:textId="77777777" w:rsidR="00D97110" w:rsidRPr="0050397C" w:rsidRDefault="00D97110" w:rsidP="00916E0D">
      <w:pPr>
        <w:pStyle w:val="DKM1"/>
        <w:numPr>
          <w:ilvl w:val="0"/>
          <w:numId w:val="0"/>
        </w:numPr>
        <w:spacing w:before="0" w:after="0" w:line="300" w:lineRule="atLeast"/>
        <w:ind w:left="284" w:hanging="426"/>
        <w:rPr>
          <w:rFonts w:asciiTheme="minorHAnsi" w:hAnsiTheme="minorHAnsi"/>
          <w:sz w:val="20"/>
          <w:szCs w:val="20"/>
        </w:rPr>
        <w:sectPr w:rsidR="00D97110" w:rsidRPr="0050397C" w:rsidSect="00C85FF1">
          <w:pgSz w:w="11906" w:h="16838"/>
          <w:pgMar w:top="2041" w:right="851" w:bottom="1418" w:left="2835" w:header="709" w:footer="709" w:gutter="0"/>
          <w:pgNumType w:fmt="lowerRoman" w:start="1"/>
          <w:cols w:space="708"/>
          <w:docGrid w:linePitch="360"/>
        </w:sectPr>
      </w:pPr>
    </w:p>
    <w:p w14:paraId="0BDB2209" w14:textId="77777777" w:rsidR="0035080E" w:rsidRPr="00C47170" w:rsidRDefault="00287835" w:rsidP="008A0E3C">
      <w:pPr>
        <w:pStyle w:val="DKM1"/>
        <w:spacing w:line="276" w:lineRule="auto"/>
        <w:rPr>
          <w:rFonts w:asciiTheme="minorHAnsi" w:hAnsiTheme="minorHAnsi"/>
          <w:sz w:val="24"/>
          <w:szCs w:val="24"/>
        </w:rPr>
      </w:pPr>
      <w:bookmarkStart w:id="3" w:name="_Toc347240504"/>
      <w:bookmarkStart w:id="4" w:name="_Toc478116679"/>
      <w:r w:rsidRPr="00C47170">
        <w:rPr>
          <w:rFonts w:asciiTheme="minorHAnsi" w:hAnsiTheme="minorHAnsi"/>
          <w:sz w:val="24"/>
          <w:szCs w:val="24"/>
        </w:rPr>
        <w:t>Introduction</w:t>
      </w:r>
      <w:bookmarkEnd w:id="3"/>
      <w:bookmarkEnd w:id="4"/>
      <w:r w:rsidRPr="00C47170">
        <w:rPr>
          <w:rFonts w:asciiTheme="minorHAnsi" w:hAnsiTheme="minorHAnsi"/>
          <w:sz w:val="24"/>
          <w:szCs w:val="24"/>
        </w:rPr>
        <w:t xml:space="preserve"> </w:t>
      </w:r>
      <w:r w:rsidRPr="00C47170">
        <w:rPr>
          <w:rFonts w:asciiTheme="minorHAnsi" w:hAnsiTheme="minorHAnsi"/>
          <w:sz w:val="24"/>
          <w:szCs w:val="24"/>
        </w:rPr>
        <w:tab/>
      </w:r>
    </w:p>
    <w:p w14:paraId="2211F9C5" w14:textId="14D4F996" w:rsidR="00804271" w:rsidRPr="00C47170" w:rsidRDefault="00804271" w:rsidP="00804271">
      <w:pPr>
        <w:pStyle w:val="DKM2"/>
        <w:rPr>
          <w:sz w:val="22"/>
          <w:szCs w:val="22"/>
        </w:rPr>
      </w:pPr>
      <w:bookmarkStart w:id="5" w:name="_Toc347240507"/>
      <w:bookmarkStart w:id="6" w:name="_Toc478116680"/>
      <w:bookmarkEnd w:id="5"/>
      <w:r w:rsidRPr="00C47170">
        <w:rPr>
          <w:sz w:val="22"/>
          <w:szCs w:val="22"/>
        </w:rPr>
        <w:t>This Submission</w:t>
      </w:r>
      <w:bookmarkEnd w:id="6"/>
      <w:r w:rsidR="00F809C8">
        <w:rPr>
          <w:rStyle w:val="FootnoteReference"/>
          <w:sz w:val="22"/>
          <w:szCs w:val="22"/>
        </w:rPr>
        <w:footnoteReference w:id="8"/>
      </w:r>
    </w:p>
    <w:p w14:paraId="727BAC22" w14:textId="6415775A" w:rsidR="00C47979" w:rsidRPr="00AE7D30" w:rsidRDefault="003576E4" w:rsidP="00AE7D30">
      <w:pPr>
        <w:pStyle w:val="DKMBodyText"/>
        <w:rPr>
          <w:rFonts w:asciiTheme="minorHAnsi" w:hAnsiTheme="minorHAnsi"/>
          <w:sz w:val="20"/>
          <w:szCs w:val="20"/>
        </w:rPr>
      </w:pPr>
      <w:r>
        <w:rPr>
          <w:rFonts w:asciiTheme="minorHAnsi" w:hAnsiTheme="minorHAnsi"/>
          <w:sz w:val="20"/>
          <w:szCs w:val="20"/>
        </w:rPr>
        <w:t>T</w:t>
      </w:r>
      <w:r w:rsidR="00A71F85" w:rsidRPr="00AE7D30">
        <w:rPr>
          <w:rFonts w:asciiTheme="minorHAnsi" w:hAnsiTheme="minorHAnsi"/>
          <w:sz w:val="20"/>
          <w:szCs w:val="20"/>
        </w:rPr>
        <w:t xml:space="preserve">he CIF welcomes this opportunity to </w:t>
      </w:r>
      <w:r w:rsidR="00C47979" w:rsidRPr="00AE7D30">
        <w:rPr>
          <w:rFonts w:asciiTheme="minorHAnsi" w:hAnsiTheme="minorHAnsi"/>
          <w:sz w:val="20"/>
          <w:szCs w:val="20"/>
        </w:rPr>
        <w:t>make a submission to</w:t>
      </w:r>
      <w:r w:rsidR="00A71F85" w:rsidRPr="00AE7D30">
        <w:rPr>
          <w:rFonts w:asciiTheme="minorHAnsi" w:hAnsiTheme="minorHAnsi"/>
          <w:sz w:val="20"/>
          <w:szCs w:val="20"/>
        </w:rPr>
        <w:t xml:space="preserve"> the Committee on Budgetary </w:t>
      </w:r>
      <w:r w:rsidR="00C012F5" w:rsidRPr="00AE7D30">
        <w:rPr>
          <w:rFonts w:asciiTheme="minorHAnsi" w:hAnsiTheme="minorHAnsi"/>
          <w:sz w:val="20"/>
          <w:szCs w:val="20"/>
        </w:rPr>
        <w:t>O</w:t>
      </w:r>
      <w:r w:rsidR="00A71F85" w:rsidRPr="00AE7D30">
        <w:rPr>
          <w:rFonts w:asciiTheme="minorHAnsi" w:hAnsiTheme="minorHAnsi"/>
          <w:sz w:val="20"/>
          <w:szCs w:val="20"/>
        </w:rPr>
        <w:t xml:space="preserve">versight. </w:t>
      </w:r>
      <w:r w:rsidRPr="00AE7D30">
        <w:rPr>
          <w:rFonts w:asciiTheme="minorHAnsi" w:hAnsiTheme="minorHAnsi"/>
          <w:sz w:val="20"/>
          <w:szCs w:val="20"/>
        </w:rPr>
        <w:t xml:space="preserve">The construction industry is a vital sector of the Irish economy. </w:t>
      </w:r>
      <w:r w:rsidR="00C47979" w:rsidRPr="00AE7D30">
        <w:rPr>
          <w:rFonts w:asciiTheme="minorHAnsi" w:hAnsiTheme="minorHAnsi"/>
          <w:sz w:val="20"/>
          <w:szCs w:val="20"/>
        </w:rPr>
        <w:t>The industry is responsible for providing the housing, social and productive</w:t>
      </w:r>
      <w:r w:rsidR="00C012F5" w:rsidRPr="00AE7D30">
        <w:rPr>
          <w:rFonts w:asciiTheme="minorHAnsi" w:hAnsiTheme="minorHAnsi"/>
          <w:sz w:val="20"/>
          <w:szCs w:val="20"/>
        </w:rPr>
        <w:t xml:space="preserve"> </w:t>
      </w:r>
      <w:r w:rsidR="00C47979" w:rsidRPr="00AE7D30">
        <w:rPr>
          <w:rFonts w:asciiTheme="minorHAnsi" w:hAnsiTheme="minorHAnsi"/>
          <w:sz w:val="20"/>
          <w:szCs w:val="20"/>
        </w:rPr>
        <w:t xml:space="preserve">infrastructure required to sustain economic growth and competitiveness and attract foreign direct investment. It is one of the most labour-intensive forms of economic activity and thus is also an important contributor to job creation and long-term productivity. In the four years since </w:t>
      </w:r>
      <w:r w:rsidR="00C012F5" w:rsidRPr="00AE7D30">
        <w:rPr>
          <w:rFonts w:asciiTheme="minorHAnsi" w:hAnsiTheme="minorHAnsi"/>
          <w:sz w:val="20"/>
          <w:szCs w:val="20"/>
        </w:rPr>
        <w:t>employment in construction reached its lowest level</w:t>
      </w:r>
      <w:r w:rsidR="00130C77">
        <w:rPr>
          <w:rFonts w:asciiTheme="minorHAnsi" w:hAnsiTheme="minorHAnsi"/>
          <w:sz w:val="20"/>
          <w:szCs w:val="20"/>
        </w:rPr>
        <w:t xml:space="preserve"> (Q1 2013)</w:t>
      </w:r>
      <w:r w:rsidR="00C012F5" w:rsidRPr="00AE7D30">
        <w:rPr>
          <w:rFonts w:asciiTheme="minorHAnsi" w:hAnsiTheme="minorHAnsi"/>
          <w:sz w:val="20"/>
          <w:szCs w:val="20"/>
        </w:rPr>
        <w:t>,</w:t>
      </w:r>
      <w:r w:rsidR="00C47979" w:rsidRPr="00AE7D30">
        <w:rPr>
          <w:rFonts w:asciiTheme="minorHAnsi" w:hAnsiTheme="minorHAnsi"/>
          <w:sz w:val="20"/>
          <w:szCs w:val="20"/>
        </w:rPr>
        <w:t xml:space="preserve"> the industry has</w:t>
      </w:r>
      <w:r w:rsidR="005E66CC" w:rsidRPr="00AE7D30">
        <w:rPr>
          <w:rFonts w:asciiTheme="minorHAnsi" w:hAnsiTheme="minorHAnsi"/>
          <w:sz w:val="20"/>
          <w:szCs w:val="20"/>
        </w:rPr>
        <w:t xml:space="preserve"> generated </w:t>
      </w:r>
      <w:r w:rsidR="00C012F5" w:rsidRPr="00AE7D30">
        <w:rPr>
          <w:rFonts w:asciiTheme="minorHAnsi" w:hAnsiTheme="minorHAnsi"/>
          <w:sz w:val="20"/>
          <w:szCs w:val="20"/>
        </w:rPr>
        <w:t xml:space="preserve">the highest proportion of </w:t>
      </w:r>
      <w:r w:rsidR="005E66CC" w:rsidRPr="00AE7D30">
        <w:rPr>
          <w:rFonts w:asciiTheme="minorHAnsi" w:hAnsiTheme="minorHAnsi"/>
          <w:sz w:val="20"/>
          <w:szCs w:val="20"/>
        </w:rPr>
        <w:t>the total jobs created across the economy</w:t>
      </w:r>
      <w:r w:rsidR="00C012F5" w:rsidRPr="00AE7D30">
        <w:rPr>
          <w:rFonts w:asciiTheme="minorHAnsi" w:hAnsiTheme="minorHAnsi"/>
          <w:sz w:val="20"/>
          <w:szCs w:val="20"/>
        </w:rPr>
        <w:t>, at almost 23 per cent.</w:t>
      </w:r>
      <w:r w:rsidR="005E66CC" w:rsidRPr="00AE7D30">
        <w:rPr>
          <w:rFonts w:asciiTheme="minorHAnsi" w:hAnsiTheme="minorHAnsi"/>
          <w:sz w:val="20"/>
          <w:szCs w:val="20"/>
        </w:rPr>
        <w:t xml:space="preserve"> </w:t>
      </w:r>
      <w:r w:rsidR="00C47979" w:rsidRPr="00AE7D30">
        <w:rPr>
          <w:rFonts w:asciiTheme="minorHAnsi" w:hAnsiTheme="minorHAnsi"/>
          <w:sz w:val="20"/>
          <w:szCs w:val="20"/>
        </w:rPr>
        <w:t xml:space="preserve"> </w:t>
      </w:r>
    </w:p>
    <w:p w14:paraId="23EAEDE3" w14:textId="77777777" w:rsidR="00C47979" w:rsidRPr="00AE7D30" w:rsidRDefault="00C47979" w:rsidP="00AE7D30">
      <w:pPr>
        <w:pStyle w:val="DKMBodyText"/>
        <w:rPr>
          <w:rFonts w:asciiTheme="minorHAnsi" w:hAnsiTheme="minorHAnsi"/>
          <w:sz w:val="20"/>
          <w:szCs w:val="20"/>
        </w:rPr>
      </w:pPr>
    </w:p>
    <w:p w14:paraId="64F913DA" w14:textId="77777777" w:rsidR="00BF624A" w:rsidRDefault="003576E4" w:rsidP="00AE7D30">
      <w:pPr>
        <w:pStyle w:val="DKMBodyText"/>
        <w:rPr>
          <w:rFonts w:asciiTheme="minorHAnsi" w:hAnsiTheme="minorHAnsi"/>
          <w:sz w:val="20"/>
          <w:szCs w:val="20"/>
        </w:rPr>
      </w:pPr>
      <w:r w:rsidRPr="00AE7D30">
        <w:rPr>
          <w:rFonts w:asciiTheme="minorHAnsi" w:hAnsiTheme="minorHAnsi"/>
          <w:sz w:val="20"/>
          <w:szCs w:val="20"/>
        </w:rPr>
        <w:t xml:space="preserve">The premise for this submission is the general consensus on the merits of investing in quality infrastructure which </w:t>
      </w:r>
      <w:r>
        <w:rPr>
          <w:rFonts w:asciiTheme="minorHAnsi" w:hAnsiTheme="minorHAnsi"/>
          <w:sz w:val="20"/>
          <w:szCs w:val="20"/>
        </w:rPr>
        <w:t xml:space="preserve">can </w:t>
      </w:r>
      <w:r w:rsidRPr="00AE7D30">
        <w:rPr>
          <w:rFonts w:asciiTheme="minorHAnsi" w:hAnsiTheme="minorHAnsi"/>
          <w:sz w:val="20"/>
          <w:szCs w:val="20"/>
        </w:rPr>
        <w:t xml:space="preserve">add to the productive potential of the economy. </w:t>
      </w:r>
      <w:r w:rsidR="00C012F5" w:rsidRPr="00AE7D30">
        <w:rPr>
          <w:rFonts w:asciiTheme="minorHAnsi" w:hAnsiTheme="minorHAnsi" w:cs="Calibri"/>
          <w:sz w:val="20"/>
          <w:szCs w:val="20"/>
        </w:rPr>
        <w:t xml:space="preserve">The economy is growing at a solid pace, and the quantity and quality of infrastructure delivered by the construction industry will play an important role in that economic recovery. The public sector has a key role to play in the funding of </w:t>
      </w:r>
      <w:r w:rsidR="00A74BE6" w:rsidRPr="00AE7D30">
        <w:rPr>
          <w:rFonts w:asciiTheme="minorHAnsi" w:hAnsiTheme="minorHAnsi" w:cs="Calibri"/>
          <w:sz w:val="20"/>
          <w:szCs w:val="20"/>
        </w:rPr>
        <w:t>such</w:t>
      </w:r>
      <w:r w:rsidR="00C012F5" w:rsidRPr="00AE7D30">
        <w:rPr>
          <w:rFonts w:asciiTheme="minorHAnsi" w:hAnsiTheme="minorHAnsi" w:cs="Calibri"/>
          <w:sz w:val="20"/>
          <w:szCs w:val="20"/>
        </w:rPr>
        <w:t xml:space="preserve"> infrastructure </w:t>
      </w:r>
      <w:r w:rsidR="00A74BE6" w:rsidRPr="00AE7D30">
        <w:rPr>
          <w:rFonts w:asciiTheme="minorHAnsi" w:hAnsiTheme="minorHAnsi" w:cs="Calibri"/>
          <w:sz w:val="20"/>
          <w:szCs w:val="20"/>
        </w:rPr>
        <w:t xml:space="preserve">which is important for sustainable and balanced economic development. </w:t>
      </w:r>
      <w:r w:rsidR="0088342B" w:rsidRPr="00AE7D30">
        <w:rPr>
          <w:rFonts w:asciiTheme="minorHAnsi" w:hAnsiTheme="minorHAnsi" w:cs="Calibri"/>
          <w:sz w:val="20"/>
          <w:szCs w:val="20"/>
        </w:rPr>
        <w:t xml:space="preserve">However, </w:t>
      </w:r>
      <w:r w:rsidR="0088342B" w:rsidRPr="00AE7D30">
        <w:rPr>
          <w:rFonts w:asciiTheme="minorHAnsi" w:hAnsiTheme="minorHAnsi"/>
          <w:sz w:val="20"/>
          <w:szCs w:val="20"/>
        </w:rPr>
        <w:t xml:space="preserve">Ireland experienced a sharply reduced level of public sector investment in infrastructure during the financial crisis, with the result that there are many stakeholders who </w:t>
      </w:r>
      <w:r w:rsidR="00130C77">
        <w:rPr>
          <w:rFonts w:asciiTheme="minorHAnsi" w:hAnsiTheme="minorHAnsi"/>
          <w:sz w:val="20"/>
          <w:szCs w:val="20"/>
        </w:rPr>
        <w:t>have been</w:t>
      </w:r>
      <w:r w:rsidR="0088342B" w:rsidRPr="00AE7D30">
        <w:rPr>
          <w:rFonts w:asciiTheme="minorHAnsi" w:hAnsiTheme="minorHAnsi"/>
          <w:sz w:val="20"/>
          <w:szCs w:val="20"/>
        </w:rPr>
        <w:t xml:space="preserve"> calling for an increased level of public capital investment in infrastructure to sustain the economic recovery which has been underway since 2014. </w:t>
      </w:r>
    </w:p>
    <w:p w14:paraId="14931F72" w14:textId="77777777" w:rsidR="00BF624A" w:rsidRPr="00BF624A" w:rsidRDefault="00BF624A" w:rsidP="00BF624A">
      <w:pPr>
        <w:pStyle w:val="DKMBodyText"/>
        <w:rPr>
          <w:rFonts w:asciiTheme="minorHAnsi" w:hAnsiTheme="minorHAnsi"/>
          <w:sz w:val="20"/>
          <w:szCs w:val="20"/>
        </w:rPr>
      </w:pPr>
    </w:p>
    <w:p w14:paraId="2B447DA7" w14:textId="5C58B8C2" w:rsidR="00BF624A" w:rsidRPr="003326B4" w:rsidRDefault="003326B4" w:rsidP="00BF624A">
      <w:pPr>
        <w:rPr>
          <w:rFonts w:cs="Arial"/>
          <w:i/>
          <w:sz w:val="20"/>
          <w:szCs w:val="20"/>
        </w:rPr>
      </w:pPr>
      <w:r w:rsidRPr="003326B4">
        <w:rPr>
          <w:sz w:val="20"/>
          <w:szCs w:val="20"/>
        </w:rPr>
        <w:t>The</w:t>
      </w:r>
      <w:r w:rsidR="00BF624A" w:rsidRPr="003326B4">
        <w:rPr>
          <w:sz w:val="20"/>
          <w:szCs w:val="20"/>
        </w:rPr>
        <w:t xml:space="preserve"> Taoiseach, Enda Kenny, has acknowledged that: “</w:t>
      </w:r>
      <w:r w:rsidR="00BF624A" w:rsidRPr="003326B4">
        <w:rPr>
          <w:rFonts w:cs="Arial"/>
          <w:i/>
          <w:sz w:val="20"/>
          <w:szCs w:val="20"/>
        </w:rPr>
        <w:t>An island of 10 million people by 2050 presents a challenge for all of us. But if we are to turn this challenge into real opportunities we need to work together, in planning and investing in the infrastructure necessary for the medium to longer term.”</w:t>
      </w:r>
    </w:p>
    <w:p w14:paraId="7D954203" w14:textId="77777777" w:rsidR="00BF624A" w:rsidRPr="003326B4" w:rsidRDefault="00BF624A" w:rsidP="00BF624A">
      <w:pPr>
        <w:rPr>
          <w:i/>
          <w:sz w:val="20"/>
          <w:szCs w:val="20"/>
        </w:rPr>
      </w:pPr>
    </w:p>
    <w:p w14:paraId="62125ED4" w14:textId="08147238" w:rsidR="00BF624A" w:rsidRPr="003326B4" w:rsidRDefault="00BF624A" w:rsidP="00BF624A">
      <w:pPr>
        <w:pStyle w:val="NormalWeb"/>
        <w:shd w:val="clear" w:color="auto" w:fill="FFFFFF"/>
        <w:spacing w:before="0" w:beforeAutospacing="0" w:after="0" w:afterAutospacing="0" w:line="280" w:lineRule="atLeast"/>
        <w:jc w:val="both"/>
        <w:rPr>
          <w:rFonts w:asciiTheme="minorHAnsi" w:hAnsiTheme="minorHAnsi"/>
          <w:i/>
          <w:sz w:val="20"/>
          <w:szCs w:val="20"/>
        </w:rPr>
      </w:pPr>
      <w:r w:rsidRPr="003326B4">
        <w:rPr>
          <w:rFonts w:asciiTheme="minorHAnsi" w:hAnsiTheme="minorHAnsi" w:cs="Arial"/>
          <w:sz w:val="20"/>
          <w:szCs w:val="20"/>
        </w:rPr>
        <w:t>He further recognised that:</w:t>
      </w:r>
      <w:r w:rsidRPr="003326B4">
        <w:rPr>
          <w:rFonts w:asciiTheme="minorHAnsi" w:hAnsiTheme="minorHAnsi" w:cs="Arial"/>
          <w:i/>
          <w:sz w:val="20"/>
          <w:szCs w:val="20"/>
        </w:rPr>
        <w:t xml:space="preserve"> “the importance of infrastructure investment is recognised in the   Programme for Government. This is reflected in the inclusion of €5 billion of additional capital expenditure in the period to 2021 which is over and above the €27 billion Exchequer capital investment provided for in the Capital Plan published last year.”</w:t>
      </w:r>
    </w:p>
    <w:p w14:paraId="45B28B89" w14:textId="77777777" w:rsidR="00BF624A" w:rsidRPr="00BF624A" w:rsidRDefault="00BF624A" w:rsidP="00BF624A">
      <w:pPr>
        <w:pStyle w:val="DKMBodyText"/>
        <w:rPr>
          <w:rFonts w:asciiTheme="minorHAnsi" w:hAnsiTheme="minorHAnsi"/>
          <w:sz w:val="20"/>
          <w:szCs w:val="20"/>
        </w:rPr>
      </w:pPr>
    </w:p>
    <w:p w14:paraId="03EEDB41" w14:textId="18B80466" w:rsidR="00FA08F0" w:rsidRPr="00AE7D30" w:rsidRDefault="0088342B" w:rsidP="00BF624A">
      <w:pPr>
        <w:pStyle w:val="DKMBodyText"/>
        <w:rPr>
          <w:rFonts w:asciiTheme="minorHAnsi" w:hAnsiTheme="minorHAnsi"/>
          <w:i/>
          <w:sz w:val="20"/>
          <w:szCs w:val="20"/>
        </w:rPr>
      </w:pPr>
      <w:r w:rsidRPr="00AE7D30">
        <w:rPr>
          <w:rFonts w:asciiTheme="minorHAnsi" w:hAnsiTheme="minorHAnsi"/>
          <w:sz w:val="20"/>
          <w:szCs w:val="20"/>
        </w:rPr>
        <w:t>The National Competitiveness Council state</w:t>
      </w:r>
      <w:r w:rsidR="0065398E" w:rsidRPr="00AE7D30">
        <w:rPr>
          <w:rFonts w:asciiTheme="minorHAnsi" w:hAnsiTheme="minorHAnsi"/>
          <w:sz w:val="20"/>
          <w:szCs w:val="20"/>
        </w:rPr>
        <w:t>d</w:t>
      </w:r>
      <w:r w:rsidRPr="00AE7D30">
        <w:rPr>
          <w:rFonts w:asciiTheme="minorHAnsi" w:hAnsiTheme="minorHAnsi"/>
          <w:sz w:val="20"/>
          <w:szCs w:val="20"/>
        </w:rPr>
        <w:t xml:space="preserve"> that</w:t>
      </w:r>
      <w:r w:rsidR="00BF624A">
        <w:rPr>
          <w:rFonts w:asciiTheme="minorHAnsi" w:hAnsiTheme="minorHAnsi"/>
          <w:sz w:val="20"/>
          <w:szCs w:val="20"/>
        </w:rPr>
        <w:t xml:space="preserve">: </w:t>
      </w:r>
      <w:r w:rsidR="00FA08F0" w:rsidRPr="00AE7D30">
        <w:rPr>
          <w:rFonts w:asciiTheme="minorHAnsi" w:hAnsiTheme="minorHAnsi"/>
          <w:i/>
          <w:sz w:val="20"/>
          <w:szCs w:val="20"/>
        </w:rPr>
        <w:t>“Economic growth, demographic pressures and a sustained period of underinvestment in infrastructure mean there is a manifest and urgent need to increase investment in essential economic infrastructures”</w:t>
      </w:r>
      <w:r w:rsidR="008F458F" w:rsidRPr="00AE7D30">
        <w:rPr>
          <w:rFonts w:asciiTheme="minorHAnsi" w:hAnsiTheme="minorHAnsi"/>
          <w:i/>
          <w:sz w:val="20"/>
          <w:szCs w:val="20"/>
        </w:rPr>
        <w:t xml:space="preserve">. </w:t>
      </w:r>
      <w:r w:rsidR="008F458F" w:rsidRPr="00130C77">
        <w:rPr>
          <w:rFonts w:asciiTheme="minorHAnsi" w:hAnsiTheme="minorHAnsi"/>
          <w:sz w:val="20"/>
          <w:szCs w:val="20"/>
        </w:rPr>
        <w:t>It further acknowledges that the scope to improve the infrastructure stock</w:t>
      </w:r>
      <w:r w:rsidR="008F458F" w:rsidRPr="00AE7D30">
        <w:rPr>
          <w:rFonts w:asciiTheme="minorHAnsi" w:hAnsiTheme="minorHAnsi"/>
          <w:i/>
          <w:sz w:val="20"/>
          <w:szCs w:val="20"/>
        </w:rPr>
        <w:t xml:space="preserve"> “must be guided by adequate levels of investment and by identifying and prioritising those investments which contribute most to Ireland’s long term competitiveness”, </w:t>
      </w:r>
      <w:r w:rsidR="008F458F" w:rsidRPr="00130C77">
        <w:rPr>
          <w:rFonts w:asciiTheme="minorHAnsi" w:hAnsiTheme="minorHAnsi"/>
          <w:sz w:val="20"/>
          <w:szCs w:val="20"/>
        </w:rPr>
        <w:t>while also addressing</w:t>
      </w:r>
      <w:r w:rsidR="008F458F" w:rsidRPr="00AE7D30">
        <w:rPr>
          <w:rFonts w:asciiTheme="minorHAnsi" w:hAnsiTheme="minorHAnsi"/>
          <w:i/>
          <w:sz w:val="20"/>
          <w:szCs w:val="20"/>
        </w:rPr>
        <w:t xml:space="preserve"> “enterprise needs and bottlenecks.”</w:t>
      </w:r>
      <w:r w:rsidR="008F458F" w:rsidRPr="00AE7D30">
        <w:rPr>
          <w:rStyle w:val="FootnoteReference"/>
          <w:rFonts w:asciiTheme="minorHAnsi" w:hAnsiTheme="minorHAnsi"/>
          <w:i/>
          <w:sz w:val="20"/>
          <w:szCs w:val="20"/>
        </w:rPr>
        <w:footnoteReference w:id="9"/>
      </w:r>
    </w:p>
    <w:p w14:paraId="7D5E087A" w14:textId="77777777" w:rsidR="00FA08F0" w:rsidRPr="00AE7D30" w:rsidRDefault="00FA08F0" w:rsidP="00AE7D30">
      <w:pPr>
        <w:pStyle w:val="DKMBodyText"/>
        <w:rPr>
          <w:rFonts w:asciiTheme="minorHAnsi" w:hAnsiTheme="minorHAnsi"/>
          <w:sz w:val="20"/>
          <w:szCs w:val="20"/>
        </w:rPr>
      </w:pPr>
    </w:p>
    <w:p w14:paraId="536C593C" w14:textId="65D4E555" w:rsidR="00532D51" w:rsidRPr="00CC39A6" w:rsidRDefault="00532D51" w:rsidP="00BF624A">
      <w:pPr>
        <w:pStyle w:val="DKMBodyText"/>
        <w:rPr>
          <w:rFonts w:asciiTheme="minorHAnsi" w:hAnsiTheme="minorHAnsi"/>
          <w:i/>
          <w:sz w:val="20"/>
          <w:szCs w:val="20"/>
        </w:rPr>
      </w:pPr>
      <w:r w:rsidRPr="00532D51">
        <w:rPr>
          <w:sz w:val="20"/>
          <w:szCs w:val="20"/>
        </w:rPr>
        <w:t>The Vice President of the European Investment Bank</w:t>
      </w:r>
      <w:r w:rsidR="00B9515E">
        <w:rPr>
          <w:sz w:val="20"/>
          <w:szCs w:val="20"/>
        </w:rPr>
        <w:t>, Mr. Andrew McDowell,</w:t>
      </w:r>
      <w:r w:rsidRPr="00532D51">
        <w:rPr>
          <w:sz w:val="20"/>
          <w:szCs w:val="20"/>
        </w:rPr>
        <w:t xml:space="preserve"> stated in 2016 that</w:t>
      </w:r>
      <w:r w:rsidR="00BF624A">
        <w:rPr>
          <w:sz w:val="20"/>
          <w:szCs w:val="20"/>
        </w:rPr>
        <w:t xml:space="preserve">: </w:t>
      </w:r>
      <w:r w:rsidR="00CC39A6" w:rsidRPr="00CC39A6">
        <w:rPr>
          <w:i/>
          <w:sz w:val="20"/>
          <w:szCs w:val="20"/>
        </w:rPr>
        <w:t>“</w:t>
      </w:r>
      <w:r w:rsidRPr="00CC39A6">
        <w:rPr>
          <w:i/>
          <w:sz w:val="20"/>
          <w:szCs w:val="20"/>
        </w:rPr>
        <w:t>Few places justify enhanced support for infrastructure investment as much as Ireland. The strength of the Irish recovery has highlighted significant planning and infrastructure bottlenecks, including but not limited to transport, housing, water and broadband, which threaten</w:t>
      </w:r>
      <w:r w:rsidR="00CC39A6" w:rsidRPr="00CC39A6">
        <w:rPr>
          <w:i/>
          <w:sz w:val="20"/>
          <w:szCs w:val="20"/>
        </w:rPr>
        <w:t xml:space="preserve"> to hold back both the continued pace of the recovery and its regional impact.</w:t>
      </w:r>
      <w:r w:rsidR="00CC39A6">
        <w:rPr>
          <w:i/>
          <w:sz w:val="20"/>
          <w:szCs w:val="20"/>
        </w:rPr>
        <w:t>”</w:t>
      </w:r>
      <w:r w:rsidR="00CC39A6">
        <w:rPr>
          <w:rStyle w:val="FootnoteReference"/>
          <w:i/>
          <w:sz w:val="20"/>
          <w:szCs w:val="20"/>
        </w:rPr>
        <w:footnoteReference w:id="10"/>
      </w:r>
    </w:p>
    <w:p w14:paraId="5D2A012E" w14:textId="77777777" w:rsidR="00CC39A6" w:rsidRDefault="00CC39A6" w:rsidP="00AE7D30">
      <w:pPr>
        <w:pStyle w:val="DKMBodyText"/>
        <w:rPr>
          <w:rFonts w:asciiTheme="minorHAnsi" w:hAnsiTheme="minorHAnsi"/>
          <w:sz w:val="20"/>
          <w:szCs w:val="20"/>
        </w:rPr>
      </w:pPr>
    </w:p>
    <w:p w14:paraId="50B2E735" w14:textId="3FCD8307" w:rsidR="007978D2" w:rsidRPr="00DB5558" w:rsidRDefault="0065398E" w:rsidP="00BF624A">
      <w:pPr>
        <w:autoSpaceDE w:val="0"/>
        <w:autoSpaceDN w:val="0"/>
        <w:adjustRightInd w:val="0"/>
        <w:rPr>
          <w:rFonts w:ascii="Calibri" w:hAnsi="Calibri" w:cs="Arial"/>
          <w:color w:val="000000"/>
          <w:sz w:val="20"/>
          <w:shd w:val="clear" w:color="auto" w:fill="FFFFFF"/>
        </w:rPr>
      </w:pPr>
      <w:r w:rsidRPr="00AE7D30">
        <w:rPr>
          <w:sz w:val="20"/>
          <w:szCs w:val="20"/>
        </w:rPr>
        <w:t xml:space="preserve">Similarly, </w:t>
      </w:r>
      <w:r w:rsidR="007978D2" w:rsidRPr="007978D2">
        <w:rPr>
          <w:rFonts w:ascii="Calibri" w:hAnsi="Calibri"/>
          <w:sz w:val="20"/>
        </w:rPr>
        <w:t>Professor Alan Barrett of the ESRI told the Committee on Budgetary Oversight in September 2016 that</w:t>
      </w:r>
      <w:r w:rsidR="00BF624A">
        <w:rPr>
          <w:rFonts w:ascii="Calibri" w:hAnsi="Calibri"/>
          <w:sz w:val="20"/>
        </w:rPr>
        <w:t xml:space="preserve">: </w:t>
      </w:r>
      <w:r w:rsidR="007978D2" w:rsidRPr="007978D2">
        <w:rPr>
          <w:rStyle w:val="apple-converted-space"/>
          <w:rFonts w:ascii="Calibri" w:hAnsi="Calibri" w:cs="Arial"/>
          <w:color w:val="000000"/>
          <w:sz w:val="20"/>
          <w:shd w:val="clear" w:color="auto" w:fill="FFFFFF"/>
        </w:rPr>
        <w:t>“</w:t>
      </w:r>
      <w:r w:rsidR="007978D2" w:rsidRPr="007978D2">
        <w:rPr>
          <w:rFonts w:ascii="Calibri" w:hAnsi="Calibri" w:cs="Arial"/>
          <w:i/>
          <w:color w:val="000000"/>
          <w:sz w:val="20"/>
          <w:shd w:val="clear" w:color="auto" w:fill="FFFFFF"/>
        </w:rPr>
        <w:t>Fiscal rules should not be so ridiculous that if there are expenditures that would genuinely add to the productive capacity of the economy, they should not be reflected in the scope we have to invest in capital</w:t>
      </w:r>
      <w:r w:rsidR="007978D2" w:rsidRPr="007978D2">
        <w:rPr>
          <w:rFonts w:ascii="Calibri" w:hAnsi="Calibri" w:cs="Arial"/>
          <w:color w:val="000000"/>
          <w:sz w:val="20"/>
          <w:shd w:val="clear" w:color="auto" w:fill="FFFFFF"/>
        </w:rPr>
        <w:t>.” He also said: “</w:t>
      </w:r>
      <w:r w:rsidR="007978D2" w:rsidRPr="007978D2">
        <w:rPr>
          <w:rFonts w:ascii="Calibri" w:hAnsi="Calibri" w:cs="Arial"/>
          <w:i/>
          <w:color w:val="000000"/>
          <w:sz w:val="20"/>
          <w:shd w:val="clear" w:color="auto" w:fill="FFFFFF"/>
        </w:rPr>
        <w:t>From an economics perspective, the notion of borrowing for productive purposes is in no way controversial. It is exactly what one should be doing, especially when interest rates are where they are now</w:t>
      </w:r>
      <w:r w:rsidR="007978D2" w:rsidRPr="007978D2">
        <w:rPr>
          <w:rFonts w:ascii="Calibri" w:hAnsi="Calibri" w:cs="Arial"/>
          <w:color w:val="000000"/>
          <w:sz w:val="20"/>
          <w:shd w:val="clear" w:color="auto" w:fill="FFFFFF"/>
        </w:rPr>
        <w:t>”.</w:t>
      </w:r>
      <w:r w:rsidR="007978D2" w:rsidRPr="007978D2">
        <w:rPr>
          <w:rStyle w:val="FootnoteReference"/>
          <w:rFonts w:ascii="Calibri" w:hAnsi="Calibri" w:cs="Arial"/>
          <w:color w:val="000000"/>
          <w:sz w:val="20"/>
          <w:shd w:val="clear" w:color="auto" w:fill="FFFFFF"/>
        </w:rPr>
        <w:footnoteReference w:id="11"/>
      </w:r>
    </w:p>
    <w:p w14:paraId="0A78A4EB" w14:textId="71AB38E7" w:rsidR="0065398E" w:rsidRPr="00AE7D30" w:rsidRDefault="0065398E" w:rsidP="00AE7D30">
      <w:pPr>
        <w:pStyle w:val="DKMBodyText"/>
        <w:rPr>
          <w:rFonts w:asciiTheme="minorHAnsi" w:hAnsiTheme="minorHAnsi"/>
          <w:sz w:val="20"/>
          <w:szCs w:val="20"/>
        </w:rPr>
      </w:pPr>
    </w:p>
    <w:p w14:paraId="2B41CADA" w14:textId="77777777" w:rsidR="00BF624A" w:rsidRDefault="003D3EAD" w:rsidP="00BF624A">
      <w:pPr>
        <w:pStyle w:val="DKMBodyText"/>
        <w:rPr>
          <w:rFonts w:asciiTheme="minorHAnsi" w:hAnsiTheme="minorHAnsi"/>
          <w:sz w:val="20"/>
          <w:szCs w:val="20"/>
        </w:rPr>
      </w:pPr>
      <w:r w:rsidRPr="00AE7D30">
        <w:rPr>
          <w:rFonts w:asciiTheme="minorHAnsi" w:hAnsiTheme="minorHAnsi"/>
          <w:sz w:val="20"/>
          <w:szCs w:val="20"/>
        </w:rPr>
        <w:t>With Irish GDP forecast to grow at over twice the corresponding growth in the Euro area</w:t>
      </w:r>
      <w:r w:rsidR="008A7EA4" w:rsidRPr="00AE7D30">
        <w:rPr>
          <w:rFonts w:asciiTheme="minorHAnsi" w:hAnsiTheme="minorHAnsi"/>
          <w:sz w:val="20"/>
          <w:szCs w:val="20"/>
        </w:rPr>
        <w:t xml:space="preserve"> in the next two years, </w:t>
      </w:r>
      <w:r w:rsidRPr="00AE7D30">
        <w:rPr>
          <w:rFonts w:asciiTheme="minorHAnsi" w:hAnsiTheme="minorHAnsi"/>
          <w:sz w:val="20"/>
          <w:szCs w:val="20"/>
        </w:rPr>
        <w:t xml:space="preserve">there are number of challenges </w:t>
      </w:r>
      <w:r w:rsidR="008A7EA4" w:rsidRPr="00AE7D30">
        <w:rPr>
          <w:rFonts w:asciiTheme="minorHAnsi" w:hAnsiTheme="minorHAnsi"/>
          <w:sz w:val="20"/>
          <w:szCs w:val="20"/>
        </w:rPr>
        <w:t>with</w:t>
      </w:r>
      <w:r w:rsidRPr="00AE7D30">
        <w:rPr>
          <w:rFonts w:asciiTheme="minorHAnsi" w:hAnsiTheme="minorHAnsi"/>
          <w:sz w:val="20"/>
          <w:szCs w:val="20"/>
        </w:rPr>
        <w:t xml:space="preserve"> regard to addressing the infrastructure deficit</w:t>
      </w:r>
      <w:r w:rsidR="008A7EA4" w:rsidRPr="00AE7D30">
        <w:rPr>
          <w:rFonts w:asciiTheme="minorHAnsi" w:hAnsiTheme="minorHAnsi"/>
          <w:sz w:val="20"/>
          <w:szCs w:val="20"/>
        </w:rPr>
        <w:t>. The key challenge is the constraint imposed by the fiscal rules under the Stability and Growth Pact which restricts the Government’s ability to increase expenditure, including capital expenditure. A second challenge is that the existing provisions set out for public capital investment will focus largely on maintenance and upgrading the exi</w:t>
      </w:r>
      <w:r w:rsidR="007978D2">
        <w:rPr>
          <w:rFonts w:asciiTheme="minorHAnsi" w:hAnsiTheme="minorHAnsi"/>
          <w:sz w:val="20"/>
          <w:szCs w:val="20"/>
        </w:rPr>
        <w:t>s</w:t>
      </w:r>
      <w:r w:rsidR="008A7EA4" w:rsidRPr="00AE7D30">
        <w:rPr>
          <w:rFonts w:asciiTheme="minorHAnsi" w:hAnsiTheme="minorHAnsi"/>
          <w:sz w:val="20"/>
          <w:szCs w:val="20"/>
        </w:rPr>
        <w:t>ting stock</w:t>
      </w:r>
      <w:r w:rsidR="00DD44D5" w:rsidRPr="00AE7D30">
        <w:rPr>
          <w:rFonts w:asciiTheme="minorHAnsi" w:hAnsiTheme="minorHAnsi"/>
          <w:sz w:val="20"/>
          <w:szCs w:val="20"/>
        </w:rPr>
        <w:t xml:space="preserve">. </w:t>
      </w:r>
    </w:p>
    <w:p w14:paraId="7A643E58" w14:textId="77777777" w:rsidR="00BF624A" w:rsidRDefault="00BF624A" w:rsidP="00BF624A">
      <w:pPr>
        <w:pStyle w:val="DKMBodyText"/>
        <w:rPr>
          <w:rFonts w:asciiTheme="minorHAnsi" w:hAnsiTheme="minorHAnsi"/>
          <w:sz w:val="20"/>
          <w:szCs w:val="20"/>
        </w:rPr>
      </w:pPr>
    </w:p>
    <w:p w14:paraId="2A41625E" w14:textId="33066999" w:rsidR="00F15394" w:rsidRDefault="00DD44D5" w:rsidP="00AE7D30">
      <w:pPr>
        <w:pStyle w:val="DKMBodyText"/>
        <w:rPr>
          <w:rFonts w:asciiTheme="minorHAnsi" w:hAnsiTheme="minorHAnsi"/>
          <w:sz w:val="20"/>
          <w:szCs w:val="20"/>
        </w:rPr>
      </w:pPr>
      <w:r w:rsidRPr="00AE7D30">
        <w:rPr>
          <w:rFonts w:asciiTheme="minorHAnsi" w:hAnsiTheme="minorHAnsi"/>
          <w:sz w:val="20"/>
          <w:szCs w:val="20"/>
        </w:rPr>
        <w:t xml:space="preserve">This issue was highlighted </w:t>
      </w:r>
      <w:r w:rsidR="00B239C5" w:rsidRPr="00AE7D30">
        <w:rPr>
          <w:rFonts w:asciiTheme="minorHAnsi" w:hAnsiTheme="minorHAnsi"/>
          <w:sz w:val="20"/>
          <w:szCs w:val="20"/>
        </w:rPr>
        <w:t>b</w:t>
      </w:r>
      <w:r w:rsidRPr="00AE7D30">
        <w:rPr>
          <w:rFonts w:asciiTheme="minorHAnsi" w:hAnsiTheme="minorHAnsi"/>
          <w:sz w:val="20"/>
          <w:szCs w:val="20"/>
        </w:rPr>
        <w:t xml:space="preserve">y the </w:t>
      </w:r>
      <w:r w:rsidR="009D2C00" w:rsidRPr="00AE7D30">
        <w:rPr>
          <w:rFonts w:asciiTheme="minorHAnsi" w:hAnsiTheme="minorHAnsi"/>
          <w:sz w:val="20"/>
          <w:szCs w:val="20"/>
        </w:rPr>
        <w:t xml:space="preserve">Irish </w:t>
      </w:r>
      <w:r w:rsidRPr="00AE7D30">
        <w:rPr>
          <w:rFonts w:asciiTheme="minorHAnsi" w:hAnsiTheme="minorHAnsi"/>
          <w:sz w:val="20"/>
          <w:szCs w:val="20"/>
        </w:rPr>
        <w:t>Fiscal Advisory Council</w:t>
      </w:r>
      <w:r w:rsidR="00B239C5" w:rsidRPr="00AE7D30">
        <w:rPr>
          <w:rFonts w:asciiTheme="minorHAnsi" w:hAnsiTheme="minorHAnsi"/>
          <w:sz w:val="20"/>
          <w:szCs w:val="20"/>
        </w:rPr>
        <w:t xml:space="preserve"> which concluded that public investment over the forecast horizon of the Capital Plan 2016-2021</w:t>
      </w:r>
      <w:r w:rsidR="00686866">
        <w:rPr>
          <w:rFonts w:asciiTheme="minorHAnsi" w:hAnsiTheme="minorHAnsi"/>
          <w:sz w:val="20"/>
          <w:szCs w:val="20"/>
        </w:rPr>
        <w:t xml:space="preserve"> </w:t>
      </w:r>
      <w:r w:rsidR="00B239C5" w:rsidRPr="00AE7D30">
        <w:rPr>
          <w:rFonts w:asciiTheme="minorHAnsi" w:hAnsiTheme="minorHAnsi"/>
          <w:sz w:val="20"/>
          <w:szCs w:val="20"/>
        </w:rPr>
        <w:t>“</w:t>
      </w:r>
      <w:r w:rsidR="00B239C5" w:rsidRPr="00AE7D30">
        <w:rPr>
          <w:rFonts w:asciiTheme="minorHAnsi" w:hAnsiTheme="minorHAnsi"/>
          <w:i/>
          <w:sz w:val="20"/>
          <w:szCs w:val="20"/>
        </w:rPr>
        <w:t>is barely adequate to cover the estimated cost of depreciation of public capital, based on historic depreciation rates</w:t>
      </w:r>
      <w:r w:rsidR="00B239C5" w:rsidRPr="00AE7D30">
        <w:rPr>
          <w:rFonts w:asciiTheme="minorHAnsi" w:hAnsiTheme="minorHAnsi"/>
          <w:sz w:val="20"/>
          <w:szCs w:val="20"/>
        </w:rPr>
        <w:t>”</w:t>
      </w:r>
      <w:r w:rsidR="00E30400" w:rsidRPr="00AE7D30">
        <w:rPr>
          <w:rFonts w:asciiTheme="minorHAnsi" w:hAnsiTheme="minorHAnsi"/>
          <w:sz w:val="20"/>
          <w:szCs w:val="20"/>
        </w:rPr>
        <w:t xml:space="preserve"> which implies limited scope to increase the public capital stock over the medium term.</w:t>
      </w:r>
      <w:r w:rsidR="009D2C00" w:rsidRPr="00AE7D30">
        <w:rPr>
          <w:rStyle w:val="FootnoteReference"/>
          <w:rFonts w:asciiTheme="minorHAnsi" w:hAnsiTheme="minorHAnsi"/>
          <w:sz w:val="20"/>
          <w:szCs w:val="20"/>
        </w:rPr>
        <w:footnoteReference w:id="12"/>
      </w:r>
      <w:r w:rsidR="00D41C8A" w:rsidRPr="00AE7D30">
        <w:rPr>
          <w:rFonts w:asciiTheme="minorHAnsi" w:hAnsiTheme="minorHAnsi"/>
          <w:sz w:val="20"/>
          <w:szCs w:val="20"/>
        </w:rPr>
        <w:t xml:space="preserve"> </w:t>
      </w:r>
      <w:r w:rsidR="00F15394">
        <w:rPr>
          <w:rFonts w:asciiTheme="minorHAnsi" w:hAnsiTheme="minorHAnsi"/>
          <w:sz w:val="20"/>
          <w:szCs w:val="20"/>
        </w:rPr>
        <w:t>A</w:t>
      </w:r>
      <w:r w:rsidR="009E46EA" w:rsidRPr="00AE7D30">
        <w:rPr>
          <w:rFonts w:asciiTheme="minorHAnsi" w:hAnsiTheme="minorHAnsi"/>
          <w:sz w:val="20"/>
          <w:szCs w:val="20"/>
        </w:rPr>
        <w:t>ll options</w:t>
      </w:r>
      <w:r w:rsidR="00D41C8A" w:rsidRPr="00AE7D30">
        <w:rPr>
          <w:rFonts w:asciiTheme="minorHAnsi" w:hAnsiTheme="minorHAnsi"/>
          <w:sz w:val="20"/>
          <w:szCs w:val="20"/>
        </w:rPr>
        <w:t xml:space="preserve"> </w:t>
      </w:r>
      <w:r w:rsidR="009E46EA" w:rsidRPr="00AE7D30">
        <w:rPr>
          <w:rFonts w:asciiTheme="minorHAnsi" w:hAnsiTheme="minorHAnsi"/>
          <w:sz w:val="20"/>
          <w:szCs w:val="20"/>
        </w:rPr>
        <w:t>need to be explored to find alternative mechanisms to fund</w:t>
      </w:r>
      <w:r w:rsidR="00D41C8A" w:rsidRPr="00AE7D30">
        <w:rPr>
          <w:rFonts w:asciiTheme="minorHAnsi" w:hAnsiTheme="minorHAnsi"/>
          <w:sz w:val="20"/>
          <w:szCs w:val="20"/>
        </w:rPr>
        <w:t xml:space="preserve"> </w:t>
      </w:r>
      <w:r w:rsidR="009E46EA" w:rsidRPr="00AE7D30">
        <w:rPr>
          <w:rFonts w:asciiTheme="minorHAnsi" w:hAnsiTheme="minorHAnsi"/>
          <w:sz w:val="20"/>
          <w:szCs w:val="20"/>
        </w:rPr>
        <w:t>infrastructure investment which are compatible with the fiscal rules</w:t>
      </w:r>
      <w:r w:rsidR="007978D2">
        <w:rPr>
          <w:rFonts w:asciiTheme="minorHAnsi" w:hAnsiTheme="minorHAnsi"/>
          <w:sz w:val="20"/>
          <w:szCs w:val="20"/>
        </w:rPr>
        <w:t xml:space="preserve">. </w:t>
      </w:r>
      <w:r w:rsidR="00F15394">
        <w:rPr>
          <w:rFonts w:asciiTheme="minorHAnsi" w:hAnsiTheme="minorHAnsi"/>
          <w:sz w:val="20"/>
          <w:szCs w:val="20"/>
        </w:rPr>
        <w:t>T</w:t>
      </w:r>
      <w:r w:rsidR="00D41C8A" w:rsidRPr="00AE7D30">
        <w:rPr>
          <w:rFonts w:asciiTheme="minorHAnsi" w:hAnsiTheme="minorHAnsi"/>
          <w:sz w:val="20"/>
          <w:szCs w:val="20"/>
        </w:rPr>
        <w:t xml:space="preserve">he third challenge is </w:t>
      </w:r>
      <w:r w:rsidR="009E46EA" w:rsidRPr="00AE7D30">
        <w:rPr>
          <w:rFonts w:asciiTheme="minorHAnsi" w:hAnsiTheme="minorHAnsi"/>
          <w:sz w:val="20"/>
          <w:szCs w:val="20"/>
        </w:rPr>
        <w:t xml:space="preserve">ensuring that investment is prioritised </w:t>
      </w:r>
      <w:r w:rsidR="00CB4595" w:rsidRPr="00AE7D30">
        <w:rPr>
          <w:rFonts w:asciiTheme="minorHAnsi" w:hAnsiTheme="minorHAnsi"/>
          <w:sz w:val="20"/>
          <w:szCs w:val="20"/>
        </w:rPr>
        <w:t xml:space="preserve">which adds to the productive potential of the economy and maximises the impact on competitiveness. </w:t>
      </w:r>
      <w:r w:rsidR="00F15394">
        <w:rPr>
          <w:rFonts w:asciiTheme="minorHAnsi" w:hAnsiTheme="minorHAnsi"/>
          <w:sz w:val="20"/>
          <w:szCs w:val="20"/>
        </w:rPr>
        <w:t xml:space="preserve">These issues </w:t>
      </w:r>
      <w:r w:rsidR="00B9515E">
        <w:rPr>
          <w:rFonts w:asciiTheme="minorHAnsi" w:hAnsiTheme="minorHAnsi"/>
          <w:sz w:val="20"/>
          <w:szCs w:val="20"/>
        </w:rPr>
        <w:t xml:space="preserve">and others </w:t>
      </w:r>
      <w:r w:rsidR="00F15394">
        <w:rPr>
          <w:rFonts w:asciiTheme="minorHAnsi" w:hAnsiTheme="minorHAnsi"/>
          <w:sz w:val="20"/>
          <w:szCs w:val="20"/>
        </w:rPr>
        <w:t>are addressed in this submission</w:t>
      </w:r>
      <w:r w:rsidR="0044579A">
        <w:rPr>
          <w:rFonts w:asciiTheme="minorHAnsi" w:hAnsiTheme="minorHAnsi"/>
          <w:sz w:val="20"/>
          <w:szCs w:val="20"/>
        </w:rPr>
        <w:t>,</w:t>
      </w:r>
      <w:r w:rsidR="00F15394">
        <w:rPr>
          <w:rFonts w:asciiTheme="minorHAnsi" w:hAnsiTheme="minorHAnsi"/>
          <w:sz w:val="20"/>
          <w:szCs w:val="20"/>
        </w:rPr>
        <w:t xml:space="preserve"> which is </w:t>
      </w:r>
      <w:r w:rsidR="0044579A">
        <w:rPr>
          <w:rFonts w:asciiTheme="minorHAnsi" w:hAnsiTheme="minorHAnsi"/>
          <w:sz w:val="20"/>
          <w:szCs w:val="20"/>
        </w:rPr>
        <w:t>structured</w:t>
      </w:r>
      <w:r w:rsidR="00F15394">
        <w:rPr>
          <w:rFonts w:asciiTheme="minorHAnsi" w:hAnsiTheme="minorHAnsi"/>
          <w:sz w:val="20"/>
          <w:szCs w:val="20"/>
        </w:rPr>
        <w:t xml:space="preserve"> as follows:</w:t>
      </w:r>
    </w:p>
    <w:p w14:paraId="03E6436E" w14:textId="77777777" w:rsidR="00F15394" w:rsidRDefault="00F15394" w:rsidP="00AE7D30">
      <w:pPr>
        <w:pStyle w:val="DKMBodyText"/>
        <w:rPr>
          <w:rFonts w:asciiTheme="minorHAnsi" w:hAnsiTheme="minorHAnsi"/>
          <w:sz w:val="20"/>
          <w:szCs w:val="20"/>
        </w:rPr>
      </w:pPr>
    </w:p>
    <w:p w14:paraId="7A1C8017" w14:textId="74D1E46F" w:rsidR="0036113A" w:rsidRDefault="00F15394" w:rsidP="00AE7D30">
      <w:pPr>
        <w:pStyle w:val="DKMBody"/>
        <w:rPr>
          <w:sz w:val="20"/>
          <w:szCs w:val="20"/>
        </w:rPr>
      </w:pPr>
      <w:r>
        <w:rPr>
          <w:sz w:val="20"/>
          <w:szCs w:val="20"/>
        </w:rPr>
        <w:t xml:space="preserve">The remainder of </w:t>
      </w:r>
      <w:r w:rsidRPr="00F15394">
        <w:rPr>
          <w:i/>
          <w:sz w:val="20"/>
          <w:szCs w:val="20"/>
        </w:rPr>
        <w:t>Section 1</w:t>
      </w:r>
      <w:r>
        <w:rPr>
          <w:sz w:val="20"/>
          <w:szCs w:val="20"/>
        </w:rPr>
        <w:t xml:space="preserve"> sets the context for the construction industry, where it is at currently and its prospects for the medium-term. It also examines a number of key challenges with respect to capacity issues and building cost inflation.</w:t>
      </w:r>
    </w:p>
    <w:p w14:paraId="33355F86" w14:textId="77777777" w:rsidR="00F15394" w:rsidRDefault="00F15394" w:rsidP="00AE7D30">
      <w:pPr>
        <w:pStyle w:val="DKMBody"/>
        <w:rPr>
          <w:sz w:val="20"/>
          <w:szCs w:val="20"/>
        </w:rPr>
      </w:pPr>
    </w:p>
    <w:p w14:paraId="219E726C" w14:textId="3A07E3B0" w:rsidR="00F15394" w:rsidRDefault="00F15394" w:rsidP="00AE7D30">
      <w:pPr>
        <w:pStyle w:val="DKMBody"/>
        <w:rPr>
          <w:sz w:val="20"/>
          <w:szCs w:val="20"/>
        </w:rPr>
      </w:pPr>
      <w:r w:rsidRPr="00686866">
        <w:rPr>
          <w:i/>
          <w:sz w:val="20"/>
          <w:szCs w:val="20"/>
        </w:rPr>
        <w:t>Section 2</w:t>
      </w:r>
      <w:r>
        <w:rPr>
          <w:sz w:val="20"/>
          <w:szCs w:val="20"/>
        </w:rPr>
        <w:t xml:space="preserve"> </w:t>
      </w:r>
      <w:r w:rsidR="00686866">
        <w:rPr>
          <w:sz w:val="20"/>
          <w:szCs w:val="20"/>
        </w:rPr>
        <w:t xml:space="preserve">examines </w:t>
      </w:r>
      <w:r>
        <w:rPr>
          <w:sz w:val="20"/>
          <w:szCs w:val="20"/>
        </w:rPr>
        <w:t>the key bottlenecks in the econo</w:t>
      </w:r>
      <w:r w:rsidR="00686866">
        <w:rPr>
          <w:sz w:val="20"/>
          <w:szCs w:val="20"/>
        </w:rPr>
        <w:t>my and the rationale for investment in public infrastructure.</w:t>
      </w:r>
      <w:r w:rsidR="00B9515E">
        <w:rPr>
          <w:sz w:val="20"/>
          <w:szCs w:val="20"/>
        </w:rPr>
        <w:t xml:space="preserve"> The challenge regarding the long-term planning of infrastructure provision is also examined.</w:t>
      </w:r>
    </w:p>
    <w:p w14:paraId="2D6B5B76" w14:textId="77777777" w:rsidR="00686866" w:rsidRDefault="00686866" w:rsidP="00AE7D30">
      <w:pPr>
        <w:pStyle w:val="DKMBody"/>
        <w:rPr>
          <w:sz w:val="20"/>
          <w:szCs w:val="20"/>
        </w:rPr>
      </w:pPr>
    </w:p>
    <w:p w14:paraId="0AA0867A" w14:textId="05BB986D" w:rsidR="00686866" w:rsidRDefault="00686866" w:rsidP="00AE7D30">
      <w:pPr>
        <w:pStyle w:val="DKMBody"/>
        <w:rPr>
          <w:sz w:val="20"/>
          <w:szCs w:val="20"/>
        </w:rPr>
      </w:pPr>
      <w:r w:rsidRPr="00686866">
        <w:rPr>
          <w:i/>
          <w:sz w:val="20"/>
          <w:szCs w:val="20"/>
        </w:rPr>
        <w:t>Section 3</w:t>
      </w:r>
      <w:r>
        <w:rPr>
          <w:sz w:val="20"/>
          <w:szCs w:val="20"/>
        </w:rPr>
        <w:t xml:space="preserve"> reviews trends in public capital investment and examines future prospects. The implications of the fiscal space for construction investment are also examined together with proposal for alternative sources of funding.   </w:t>
      </w:r>
    </w:p>
    <w:p w14:paraId="02C67955" w14:textId="77777777" w:rsidR="00B9515E" w:rsidRDefault="00B9515E" w:rsidP="00AE7D30">
      <w:pPr>
        <w:pStyle w:val="DKMBody"/>
        <w:rPr>
          <w:sz w:val="20"/>
          <w:szCs w:val="20"/>
        </w:rPr>
      </w:pPr>
    </w:p>
    <w:p w14:paraId="132969EE" w14:textId="1DD5A2A9" w:rsidR="00B9515E" w:rsidRDefault="00B9515E" w:rsidP="00AE7D30">
      <w:pPr>
        <w:pStyle w:val="DKMBody"/>
        <w:rPr>
          <w:sz w:val="20"/>
          <w:szCs w:val="20"/>
        </w:rPr>
      </w:pPr>
      <w:r>
        <w:rPr>
          <w:sz w:val="20"/>
          <w:szCs w:val="20"/>
        </w:rPr>
        <w:t>The Executive Summary contains the main conclusions and recommendations.</w:t>
      </w:r>
    </w:p>
    <w:p w14:paraId="00852E8A" w14:textId="77777777" w:rsidR="008E47D7" w:rsidRDefault="008E47D7" w:rsidP="00AE7D30">
      <w:pPr>
        <w:pStyle w:val="DKMBody"/>
        <w:rPr>
          <w:sz w:val="20"/>
          <w:szCs w:val="20"/>
        </w:rPr>
      </w:pPr>
    </w:p>
    <w:p w14:paraId="4B0DB386" w14:textId="20BA31B7" w:rsidR="00D97110" w:rsidRPr="00C47170" w:rsidRDefault="00804271" w:rsidP="00804271">
      <w:pPr>
        <w:pStyle w:val="DKM2"/>
        <w:rPr>
          <w:sz w:val="22"/>
          <w:szCs w:val="22"/>
        </w:rPr>
      </w:pPr>
      <w:bookmarkStart w:id="7" w:name="_Toc478116681"/>
      <w:r w:rsidRPr="00C47170">
        <w:rPr>
          <w:sz w:val="22"/>
          <w:szCs w:val="22"/>
        </w:rPr>
        <w:t>Construction Industry Context</w:t>
      </w:r>
      <w:bookmarkEnd w:id="7"/>
    </w:p>
    <w:p w14:paraId="12955D68" w14:textId="5A692D9C" w:rsidR="00407ED7" w:rsidRPr="003326B4" w:rsidRDefault="00AD4AAA" w:rsidP="00AE7D30">
      <w:pPr>
        <w:pStyle w:val="DKMBody"/>
        <w:rPr>
          <w:bCs/>
          <w:sz w:val="20"/>
          <w:szCs w:val="20"/>
        </w:rPr>
      </w:pPr>
      <w:r w:rsidRPr="00AE7D30">
        <w:rPr>
          <w:bCs/>
          <w:sz w:val="20"/>
          <w:szCs w:val="20"/>
        </w:rPr>
        <w:t xml:space="preserve">Official statistics from the CSO indicate that the construction industry has been in recovery for almost four years. Following a contraction in output volumes by </w:t>
      </w:r>
      <w:r w:rsidR="0044579A">
        <w:rPr>
          <w:bCs/>
          <w:sz w:val="20"/>
          <w:szCs w:val="20"/>
        </w:rPr>
        <w:t>over 60 per cent</w:t>
      </w:r>
      <w:r w:rsidRPr="00AE7D30">
        <w:rPr>
          <w:bCs/>
          <w:sz w:val="20"/>
          <w:szCs w:val="20"/>
        </w:rPr>
        <w:t xml:space="preserve"> between 2007 and 201</w:t>
      </w:r>
      <w:r w:rsidR="0044579A">
        <w:rPr>
          <w:bCs/>
          <w:sz w:val="20"/>
          <w:szCs w:val="20"/>
        </w:rPr>
        <w:t>2</w:t>
      </w:r>
      <w:r w:rsidRPr="00AE7D30">
        <w:rPr>
          <w:bCs/>
          <w:sz w:val="20"/>
          <w:szCs w:val="20"/>
        </w:rPr>
        <w:t>, the industry</w:t>
      </w:r>
      <w:r w:rsidR="00C043F5" w:rsidRPr="00AE7D30">
        <w:rPr>
          <w:bCs/>
          <w:sz w:val="20"/>
          <w:szCs w:val="20"/>
        </w:rPr>
        <w:t xml:space="preserve"> began to recover </w:t>
      </w:r>
      <w:r w:rsidR="00C510DA" w:rsidRPr="00AE7D30">
        <w:rPr>
          <w:bCs/>
          <w:sz w:val="20"/>
          <w:szCs w:val="20"/>
        </w:rPr>
        <w:t xml:space="preserve">strongly </w:t>
      </w:r>
      <w:r w:rsidR="00C043F5" w:rsidRPr="00AE7D30">
        <w:rPr>
          <w:bCs/>
          <w:sz w:val="20"/>
          <w:szCs w:val="20"/>
        </w:rPr>
        <w:t xml:space="preserve">in 2013, albeit from an </w:t>
      </w:r>
      <w:r w:rsidR="00C043F5" w:rsidRPr="003326B4">
        <w:rPr>
          <w:bCs/>
          <w:sz w:val="20"/>
          <w:szCs w:val="20"/>
        </w:rPr>
        <w:t xml:space="preserve">exceptionally low base. The volume of construction output increased by </w:t>
      </w:r>
      <w:r w:rsidR="000E627D" w:rsidRPr="003326B4">
        <w:rPr>
          <w:bCs/>
          <w:sz w:val="20"/>
          <w:szCs w:val="20"/>
        </w:rPr>
        <w:t>almost 50</w:t>
      </w:r>
      <w:r w:rsidR="00C043F5" w:rsidRPr="003326B4">
        <w:rPr>
          <w:bCs/>
          <w:sz w:val="20"/>
          <w:szCs w:val="20"/>
        </w:rPr>
        <w:t xml:space="preserve"> per cent </w:t>
      </w:r>
      <w:r w:rsidR="00C510DA" w:rsidRPr="003326B4">
        <w:rPr>
          <w:bCs/>
          <w:sz w:val="20"/>
          <w:szCs w:val="20"/>
        </w:rPr>
        <w:t xml:space="preserve">or </w:t>
      </w:r>
      <w:r w:rsidR="000E627D" w:rsidRPr="003326B4">
        <w:rPr>
          <w:bCs/>
          <w:sz w:val="20"/>
          <w:szCs w:val="20"/>
        </w:rPr>
        <w:t>10.5</w:t>
      </w:r>
      <w:r w:rsidR="00C510DA" w:rsidRPr="003326B4">
        <w:rPr>
          <w:bCs/>
          <w:sz w:val="20"/>
          <w:szCs w:val="20"/>
        </w:rPr>
        <w:t xml:space="preserve"> per cent on average per annum between 2012 and 201</w:t>
      </w:r>
      <w:r w:rsidR="000E627D" w:rsidRPr="003326B4">
        <w:rPr>
          <w:bCs/>
          <w:sz w:val="20"/>
          <w:szCs w:val="20"/>
        </w:rPr>
        <w:t>6</w:t>
      </w:r>
      <w:r w:rsidR="00C510DA" w:rsidRPr="003326B4">
        <w:rPr>
          <w:bCs/>
          <w:sz w:val="20"/>
          <w:szCs w:val="20"/>
        </w:rPr>
        <w:t xml:space="preserve">. </w:t>
      </w:r>
      <w:r w:rsidR="000E627D" w:rsidRPr="003326B4">
        <w:rPr>
          <w:bCs/>
          <w:sz w:val="20"/>
          <w:szCs w:val="20"/>
        </w:rPr>
        <w:t xml:space="preserve">Preliminary estimates for 2016 show the value of construction </w:t>
      </w:r>
      <w:r w:rsidR="000E627D" w:rsidRPr="003326B4">
        <w:rPr>
          <w:sz w:val="20"/>
          <w:szCs w:val="20"/>
        </w:rPr>
        <w:t>output reached €15.5 billion in 2016 (5.</w:t>
      </w:r>
      <w:r w:rsidR="000C7AA7" w:rsidRPr="003326B4">
        <w:rPr>
          <w:sz w:val="20"/>
          <w:szCs w:val="20"/>
        </w:rPr>
        <w:t>5</w:t>
      </w:r>
      <w:r w:rsidR="000E627D" w:rsidRPr="003326B4">
        <w:rPr>
          <w:sz w:val="20"/>
          <w:szCs w:val="20"/>
        </w:rPr>
        <w:t>% of GDP)</w:t>
      </w:r>
      <w:r w:rsidR="000C7AA7" w:rsidRPr="003326B4">
        <w:rPr>
          <w:sz w:val="20"/>
          <w:szCs w:val="20"/>
        </w:rPr>
        <w:t xml:space="preserve">. This corresponds to less than half of the corresponding value recorded in 2006 when the total </w:t>
      </w:r>
      <w:r w:rsidR="00337BB7" w:rsidRPr="003326B4">
        <w:rPr>
          <w:sz w:val="20"/>
          <w:szCs w:val="20"/>
        </w:rPr>
        <w:t xml:space="preserve">value of output in the industry reached </w:t>
      </w:r>
      <w:r w:rsidR="00CB14A1" w:rsidRPr="003326B4">
        <w:rPr>
          <w:sz w:val="20"/>
          <w:szCs w:val="20"/>
        </w:rPr>
        <w:t>almost €34 billion or 18 per cent of GDP.</w:t>
      </w:r>
      <w:r w:rsidR="00CB14A1" w:rsidRPr="003326B4">
        <w:rPr>
          <w:rStyle w:val="FootnoteReference"/>
          <w:bCs/>
          <w:sz w:val="20"/>
          <w:szCs w:val="20"/>
        </w:rPr>
        <w:t xml:space="preserve"> </w:t>
      </w:r>
      <w:r w:rsidR="00CB14A1" w:rsidRPr="003326B4">
        <w:rPr>
          <w:rStyle w:val="FootnoteReference"/>
          <w:bCs/>
          <w:sz w:val="20"/>
          <w:szCs w:val="20"/>
        </w:rPr>
        <w:footnoteReference w:id="13"/>
      </w:r>
      <w:r w:rsidR="00D14DD1" w:rsidRPr="003326B4">
        <w:rPr>
          <w:bCs/>
          <w:sz w:val="20"/>
          <w:szCs w:val="20"/>
        </w:rPr>
        <w:t xml:space="preserve"> Thus the industry is currently operating well below what is deemed to be a sustainable level of activity, of around 10 per cent of GDP.</w:t>
      </w:r>
      <w:r w:rsidR="003326B4" w:rsidRPr="003326B4">
        <w:rPr>
          <w:bCs/>
          <w:sz w:val="20"/>
          <w:szCs w:val="20"/>
        </w:rPr>
        <w:t xml:space="preserve"> The activity is also predominantly concentrated in the building sector and in the Dublin Region.</w:t>
      </w:r>
    </w:p>
    <w:p w14:paraId="729FEB8B" w14:textId="77777777" w:rsidR="00224917" w:rsidRDefault="00224917" w:rsidP="00AE7D30">
      <w:pPr>
        <w:pStyle w:val="DKMBody"/>
        <w:rPr>
          <w:bCs/>
          <w:sz w:val="20"/>
          <w:szCs w:val="20"/>
        </w:rPr>
      </w:pPr>
    </w:p>
    <w:p w14:paraId="7C1C1BCB" w14:textId="4F8AA5BC" w:rsidR="00224917" w:rsidRDefault="00CA00C6" w:rsidP="00AE7D30">
      <w:pPr>
        <w:pStyle w:val="DKMBody"/>
        <w:rPr>
          <w:bCs/>
          <w:sz w:val="20"/>
          <w:szCs w:val="20"/>
        </w:rPr>
      </w:pPr>
      <w:r>
        <w:rPr>
          <w:bCs/>
          <w:sz w:val="20"/>
          <w:szCs w:val="20"/>
        </w:rPr>
        <w:t xml:space="preserve">The breakdown provided by the CSO shows that around one-third of the total value of building and construction put in place in 2015 was residential (67% in 2006), just over 6 per cent was roads (unchanged from 2006) and 60 per cent was other building and construction (26% in 2006).  </w:t>
      </w:r>
    </w:p>
    <w:p w14:paraId="0CF3B6A6" w14:textId="3658AEE0" w:rsidR="00224917" w:rsidRPr="00BC34A6" w:rsidRDefault="00224917" w:rsidP="00BC34A6">
      <w:pPr>
        <w:pStyle w:val="DKMFigure"/>
        <w:rPr>
          <w:bCs/>
          <w:sz w:val="20"/>
          <w:szCs w:val="20"/>
        </w:rPr>
      </w:pPr>
      <w:bookmarkStart w:id="8" w:name="_Toc478116709"/>
      <w:r>
        <w:t>Value of Building and Construction Output (Current Prices</w:t>
      </w:r>
      <w:r w:rsidR="005C0A38">
        <w:t>, €bn</w:t>
      </w:r>
      <w:r>
        <w:t>)</w:t>
      </w:r>
      <w:bookmarkEnd w:id="8"/>
    </w:p>
    <w:p w14:paraId="7CB2BC58" w14:textId="256AD435" w:rsidR="00224917" w:rsidRDefault="00224917" w:rsidP="00AE7D30">
      <w:pPr>
        <w:pStyle w:val="DKMBody"/>
        <w:rPr>
          <w:bCs/>
          <w:sz w:val="20"/>
          <w:szCs w:val="20"/>
        </w:rPr>
      </w:pPr>
      <w:r w:rsidRPr="00224917">
        <w:rPr>
          <w:noProof/>
        </w:rPr>
        <w:drawing>
          <wp:inline distT="0" distB="0" distL="0" distR="0" wp14:anchorId="0E5BB1F3" wp14:editId="77466D35">
            <wp:extent cx="468757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4763" cy="2549316"/>
                    </a:xfrm>
                    <a:prstGeom prst="rect">
                      <a:avLst/>
                    </a:prstGeom>
                  </pic:spPr>
                </pic:pic>
              </a:graphicData>
            </a:graphic>
          </wp:inline>
        </w:drawing>
      </w:r>
    </w:p>
    <w:p w14:paraId="6FF07098" w14:textId="6B5CA39E" w:rsidR="00224917" w:rsidRPr="00224917" w:rsidRDefault="00224917" w:rsidP="00224917">
      <w:pPr>
        <w:pStyle w:val="DKMBody"/>
        <w:spacing w:line="240" w:lineRule="auto"/>
        <w:rPr>
          <w:bCs/>
          <w:sz w:val="18"/>
          <w:szCs w:val="18"/>
        </w:rPr>
      </w:pPr>
      <w:r w:rsidRPr="00224917">
        <w:rPr>
          <w:bCs/>
          <w:sz w:val="18"/>
          <w:szCs w:val="18"/>
        </w:rPr>
        <w:t>Source: CSO National Accounts</w:t>
      </w:r>
    </w:p>
    <w:p w14:paraId="761C59BF" w14:textId="77777777" w:rsidR="00224917" w:rsidRDefault="00224917" w:rsidP="00AE7D30">
      <w:pPr>
        <w:pStyle w:val="DKMBody"/>
        <w:rPr>
          <w:bCs/>
          <w:sz w:val="20"/>
          <w:szCs w:val="20"/>
        </w:rPr>
      </w:pPr>
    </w:p>
    <w:p w14:paraId="598960A4" w14:textId="45A10B83" w:rsidR="00C510DA" w:rsidRDefault="00C510DA" w:rsidP="00AE7D30">
      <w:pPr>
        <w:pStyle w:val="DKMBody"/>
        <w:rPr>
          <w:bCs/>
          <w:sz w:val="20"/>
          <w:szCs w:val="20"/>
        </w:rPr>
      </w:pPr>
      <w:r w:rsidRPr="00AE7D30">
        <w:rPr>
          <w:bCs/>
          <w:sz w:val="20"/>
          <w:szCs w:val="20"/>
        </w:rPr>
        <w:t xml:space="preserve">Having lost 180,000 direct jobs between Q2 2007 and Q1 2013, the industry has regained </w:t>
      </w:r>
      <w:r w:rsidR="008767A2">
        <w:rPr>
          <w:bCs/>
          <w:sz w:val="20"/>
          <w:szCs w:val="20"/>
        </w:rPr>
        <w:t>41,800</w:t>
      </w:r>
      <w:r w:rsidRPr="00AE7D30">
        <w:rPr>
          <w:bCs/>
          <w:sz w:val="20"/>
          <w:szCs w:val="20"/>
        </w:rPr>
        <w:t xml:space="preserve"> jobs in the period since</w:t>
      </w:r>
      <w:r w:rsidR="00972974" w:rsidRPr="00AE7D30">
        <w:rPr>
          <w:bCs/>
          <w:sz w:val="20"/>
          <w:szCs w:val="20"/>
        </w:rPr>
        <w:t xml:space="preserve">, which represents </w:t>
      </w:r>
      <w:r w:rsidR="008767A2">
        <w:rPr>
          <w:bCs/>
          <w:sz w:val="20"/>
          <w:szCs w:val="20"/>
        </w:rPr>
        <w:t xml:space="preserve">almost 23 </w:t>
      </w:r>
      <w:r w:rsidR="00972974" w:rsidRPr="00AE7D30">
        <w:rPr>
          <w:bCs/>
          <w:sz w:val="20"/>
          <w:szCs w:val="20"/>
        </w:rPr>
        <w:t xml:space="preserve">per cent of the total jobs </w:t>
      </w:r>
      <w:r w:rsidR="008767A2">
        <w:rPr>
          <w:bCs/>
          <w:sz w:val="20"/>
          <w:szCs w:val="20"/>
        </w:rPr>
        <w:t xml:space="preserve">added </w:t>
      </w:r>
      <w:r w:rsidR="00972974" w:rsidRPr="00AE7D30">
        <w:rPr>
          <w:bCs/>
          <w:sz w:val="20"/>
          <w:szCs w:val="20"/>
        </w:rPr>
        <w:t>over the period</w:t>
      </w:r>
      <w:r w:rsidRPr="00AE7D30">
        <w:rPr>
          <w:bCs/>
          <w:sz w:val="20"/>
          <w:szCs w:val="20"/>
        </w:rPr>
        <w:t xml:space="preserve">. A key issue </w:t>
      </w:r>
      <w:r w:rsidR="008767A2">
        <w:rPr>
          <w:bCs/>
          <w:sz w:val="20"/>
          <w:szCs w:val="20"/>
        </w:rPr>
        <w:t xml:space="preserve">of </w:t>
      </w:r>
      <w:r w:rsidRPr="00AE7D30">
        <w:rPr>
          <w:bCs/>
          <w:sz w:val="20"/>
          <w:szCs w:val="20"/>
        </w:rPr>
        <w:t xml:space="preserve">concern </w:t>
      </w:r>
      <w:r w:rsidR="008767A2">
        <w:rPr>
          <w:bCs/>
          <w:sz w:val="20"/>
          <w:szCs w:val="20"/>
        </w:rPr>
        <w:t xml:space="preserve">is the loss of capacity in the industry during the financial crisis, when </w:t>
      </w:r>
      <w:r w:rsidRPr="00AE7D30">
        <w:rPr>
          <w:bCs/>
          <w:sz w:val="20"/>
          <w:szCs w:val="20"/>
        </w:rPr>
        <w:t>the number of firms in the industry</w:t>
      </w:r>
      <w:r w:rsidR="008767A2">
        <w:rPr>
          <w:bCs/>
          <w:sz w:val="20"/>
          <w:szCs w:val="20"/>
        </w:rPr>
        <w:t xml:space="preserve"> declined by </w:t>
      </w:r>
      <w:r w:rsidRPr="00AE7D30">
        <w:rPr>
          <w:bCs/>
          <w:sz w:val="20"/>
          <w:szCs w:val="20"/>
        </w:rPr>
        <w:t xml:space="preserve">14,400 firms in the six years to 2014. </w:t>
      </w:r>
      <w:r w:rsidR="008767A2">
        <w:rPr>
          <w:bCs/>
          <w:sz w:val="20"/>
          <w:szCs w:val="20"/>
        </w:rPr>
        <w:t>The latest CSO data is that there w</w:t>
      </w:r>
      <w:r w:rsidR="005701A8">
        <w:rPr>
          <w:bCs/>
          <w:sz w:val="20"/>
          <w:szCs w:val="20"/>
        </w:rPr>
        <w:t xml:space="preserve">ere </w:t>
      </w:r>
      <w:r w:rsidR="008767A2">
        <w:rPr>
          <w:bCs/>
          <w:sz w:val="20"/>
          <w:szCs w:val="20"/>
        </w:rPr>
        <w:t xml:space="preserve">47,349 firms in the industry in 2014 (the latest data available) with around 98 per cent of all enterprises employing less than 10 employees. </w:t>
      </w:r>
    </w:p>
    <w:p w14:paraId="33F4FFD8" w14:textId="77777777" w:rsidR="00CE04CD" w:rsidRPr="00AE7D30" w:rsidRDefault="00CE04CD" w:rsidP="00AE7D30">
      <w:pPr>
        <w:pStyle w:val="DKMBody"/>
        <w:rPr>
          <w:bCs/>
          <w:sz w:val="20"/>
          <w:szCs w:val="20"/>
        </w:rPr>
      </w:pPr>
    </w:p>
    <w:p w14:paraId="5605D429" w14:textId="35802421" w:rsidR="00972974" w:rsidRPr="003326B4" w:rsidRDefault="000C7AA7" w:rsidP="00AE7D30">
      <w:pPr>
        <w:pStyle w:val="DKMBody"/>
        <w:rPr>
          <w:bCs/>
          <w:sz w:val="20"/>
          <w:szCs w:val="20"/>
        </w:rPr>
      </w:pPr>
      <w:r>
        <w:rPr>
          <w:sz w:val="20"/>
          <w:szCs w:val="20"/>
        </w:rPr>
        <w:t>But a</w:t>
      </w:r>
      <w:r w:rsidRPr="000C7AA7">
        <w:rPr>
          <w:sz w:val="20"/>
          <w:szCs w:val="20"/>
        </w:rPr>
        <w:t xml:space="preserve">ctivity in the Irish construction industry is growing at a robust pace with very encouraging developments reported each month from, for example, the Ulster Bank </w:t>
      </w:r>
      <w:r>
        <w:rPr>
          <w:sz w:val="20"/>
          <w:szCs w:val="20"/>
        </w:rPr>
        <w:t>Purchasing Managers Index (</w:t>
      </w:r>
      <w:r w:rsidRPr="000C7AA7">
        <w:rPr>
          <w:sz w:val="20"/>
          <w:szCs w:val="20"/>
        </w:rPr>
        <w:t>PMI</w:t>
      </w:r>
      <w:r>
        <w:rPr>
          <w:sz w:val="20"/>
          <w:szCs w:val="20"/>
        </w:rPr>
        <w:t>)</w:t>
      </w:r>
      <w:r w:rsidRPr="000C7AA7">
        <w:rPr>
          <w:sz w:val="20"/>
          <w:szCs w:val="20"/>
        </w:rPr>
        <w:t xml:space="preserve"> Survey</w:t>
      </w:r>
      <w:r>
        <w:rPr>
          <w:sz w:val="20"/>
          <w:szCs w:val="20"/>
        </w:rPr>
        <w:t>.</w:t>
      </w:r>
      <w:r w:rsidR="00972974" w:rsidRPr="00AE7D30">
        <w:rPr>
          <w:bCs/>
          <w:sz w:val="20"/>
          <w:szCs w:val="20"/>
        </w:rPr>
        <w:t xml:space="preserve"> It is noteworthy that residential construction activity continues to rise at a rapid pace, while commercial activity also remains </w:t>
      </w:r>
      <w:r w:rsidR="003576E4">
        <w:rPr>
          <w:bCs/>
          <w:sz w:val="20"/>
          <w:szCs w:val="20"/>
        </w:rPr>
        <w:t xml:space="preserve">very much </w:t>
      </w:r>
      <w:r w:rsidR="00972974" w:rsidRPr="00AE7D30">
        <w:rPr>
          <w:bCs/>
          <w:sz w:val="20"/>
          <w:szCs w:val="20"/>
        </w:rPr>
        <w:t xml:space="preserve">in expansion mode, though the pace of growth had eased in previous months.  However, civil engineering, </w:t>
      </w:r>
      <w:r w:rsidR="00407ED7" w:rsidRPr="00AE7D30">
        <w:rPr>
          <w:bCs/>
          <w:sz w:val="20"/>
          <w:szCs w:val="20"/>
        </w:rPr>
        <w:t xml:space="preserve">has </w:t>
      </w:r>
      <w:r w:rsidR="00972974" w:rsidRPr="00AE7D30">
        <w:rPr>
          <w:bCs/>
          <w:sz w:val="20"/>
          <w:szCs w:val="20"/>
        </w:rPr>
        <w:t>continue</w:t>
      </w:r>
      <w:r w:rsidR="00407ED7" w:rsidRPr="00AE7D30">
        <w:rPr>
          <w:bCs/>
          <w:sz w:val="20"/>
          <w:szCs w:val="20"/>
        </w:rPr>
        <w:t>d</w:t>
      </w:r>
      <w:r w:rsidR="00972974" w:rsidRPr="00AE7D30">
        <w:rPr>
          <w:bCs/>
          <w:sz w:val="20"/>
          <w:szCs w:val="20"/>
        </w:rPr>
        <w:t xml:space="preserve"> to lag behind the other sectors, with respondents reporting a </w:t>
      </w:r>
      <w:r>
        <w:rPr>
          <w:bCs/>
          <w:sz w:val="20"/>
          <w:szCs w:val="20"/>
        </w:rPr>
        <w:t>fourth</w:t>
      </w:r>
      <w:r w:rsidR="00972974" w:rsidRPr="00AE7D30">
        <w:rPr>
          <w:bCs/>
          <w:sz w:val="20"/>
          <w:szCs w:val="20"/>
        </w:rPr>
        <w:t xml:space="preserve"> consecutive monthly decline in activity</w:t>
      </w:r>
      <w:r w:rsidR="005701A8">
        <w:rPr>
          <w:bCs/>
          <w:sz w:val="20"/>
          <w:szCs w:val="20"/>
        </w:rPr>
        <w:t xml:space="preserve"> </w:t>
      </w:r>
      <w:r w:rsidR="005701A8" w:rsidRPr="003326B4">
        <w:rPr>
          <w:bCs/>
          <w:sz w:val="20"/>
          <w:szCs w:val="20"/>
        </w:rPr>
        <w:t xml:space="preserve">in </w:t>
      </w:r>
      <w:r w:rsidRPr="003326B4">
        <w:rPr>
          <w:bCs/>
          <w:sz w:val="20"/>
          <w:szCs w:val="20"/>
        </w:rPr>
        <w:t>February</w:t>
      </w:r>
      <w:r w:rsidR="003326B4">
        <w:rPr>
          <w:bCs/>
          <w:sz w:val="20"/>
          <w:szCs w:val="20"/>
        </w:rPr>
        <w:t xml:space="preserve"> 2017</w:t>
      </w:r>
      <w:r w:rsidR="00972974" w:rsidRPr="003326B4">
        <w:rPr>
          <w:bCs/>
          <w:sz w:val="20"/>
          <w:szCs w:val="20"/>
        </w:rPr>
        <w:t>.</w:t>
      </w:r>
    </w:p>
    <w:p w14:paraId="1034C128" w14:textId="77777777" w:rsidR="000D2D68" w:rsidRPr="003326B4" w:rsidRDefault="000D2D68" w:rsidP="00AE7D30">
      <w:pPr>
        <w:pStyle w:val="DKMBody"/>
        <w:rPr>
          <w:bCs/>
          <w:sz w:val="20"/>
          <w:szCs w:val="20"/>
        </w:rPr>
      </w:pPr>
    </w:p>
    <w:p w14:paraId="1122631D" w14:textId="77777777" w:rsidR="000D2D68" w:rsidRPr="008E47D7" w:rsidRDefault="000D2D68" w:rsidP="000D2D68">
      <w:pPr>
        <w:rPr>
          <w:b/>
          <w:i/>
          <w:color w:val="005596"/>
          <w:sz w:val="20"/>
          <w:szCs w:val="20"/>
        </w:rPr>
      </w:pPr>
      <w:r w:rsidRPr="008E47D7">
        <w:rPr>
          <w:b/>
          <w:i/>
          <w:color w:val="005596"/>
          <w:sz w:val="20"/>
          <w:szCs w:val="20"/>
        </w:rPr>
        <w:t>Civil engineering sector in crisis</w:t>
      </w:r>
    </w:p>
    <w:p w14:paraId="6F411404" w14:textId="556AE31A" w:rsidR="000D2D68" w:rsidRPr="000D2D68" w:rsidRDefault="000D2D68" w:rsidP="000D2D68">
      <w:pPr>
        <w:rPr>
          <w:color w:val="FF0000"/>
          <w:sz w:val="20"/>
          <w:szCs w:val="20"/>
        </w:rPr>
      </w:pPr>
      <w:r w:rsidRPr="003326B4">
        <w:rPr>
          <w:sz w:val="20"/>
          <w:szCs w:val="20"/>
        </w:rPr>
        <w:t>Focusing in particular on civil engineering, this submission wishes to acknowledge the situation which currently exists in the civil engineering sector. Civil engineering projects are predominantly funded by the public sector and the sector is already in crisis given the dearth of new public infrastructure projects in recent years. While some of the larger players can internationalise, many Irish civil engineering firms are reliant on a pipeline of medium-sized public sector infrastructure projects. It is noteworthy that civil engineering has consistently remained an area of weakness in the Ulster Bank PMI. Moreover there is little or no inflation in civil engineering, indicating that now is a good time to invest in civil engineering projects</w:t>
      </w:r>
      <w:r w:rsidRPr="000D2D68">
        <w:rPr>
          <w:color w:val="FF0000"/>
          <w:sz w:val="20"/>
          <w:szCs w:val="20"/>
        </w:rPr>
        <w:t>.</w:t>
      </w:r>
    </w:p>
    <w:p w14:paraId="12E53B61" w14:textId="7CAB9706" w:rsidR="00262638" w:rsidRPr="00C47170" w:rsidRDefault="00262638" w:rsidP="00AE7D30">
      <w:pPr>
        <w:pStyle w:val="DKM2"/>
        <w:spacing w:line="240" w:lineRule="auto"/>
        <w:rPr>
          <w:sz w:val="22"/>
          <w:szCs w:val="22"/>
        </w:rPr>
      </w:pPr>
      <w:bookmarkStart w:id="9" w:name="_Toc478116682"/>
      <w:r w:rsidRPr="00C47170">
        <w:rPr>
          <w:sz w:val="22"/>
          <w:szCs w:val="22"/>
        </w:rPr>
        <w:t>Prospects for the Construction Industry</w:t>
      </w:r>
      <w:bookmarkEnd w:id="9"/>
    </w:p>
    <w:p w14:paraId="6AA73D14" w14:textId="1D12E1E7" w:rsidR="00A418DB" w:rsidRPr="00A418DB" w:rsidRDefault="004606D7" w:rsidP="00E5573B">
      <w:pPr>
        <w:rPr>
          <w:rFonts w:cs="Arial"/>
          <w:sz w:val="20"/>
          <w:szCs w:val="20"/>
        </w:rPr>
      </w:pPr>
      <w:r w:rsidRPr="00A418DB">
        <w:rPr>
          <w:sz w:val="20"/>
          <w:szCs w:val="20"/>
        </w:rPr>
        <w:t>The prospect</w:t>
      </w:r>
      <w:r w:rsidR="003576E4">
        <w:rPr>
          <w:sz w:val="20"/>
          <w:szCs w:val="20"/>
        </w:rPr>
        <w:t>s</w:t>
      </w:r>
      <w:r w:rsidRPr="00A418DB">
        <w:rPr>
          <w:sz w:val="20"/>
          <w:szCs w:val="20"/>
        </w:rPr>
        <w:t xml:space="preserve"> for construction over the medium-term </w:t>
      </w:r>
      <w:r w:rsidR="00AF65BD" w:rsidRPr="00A418DB">
        <w:rPr>
          <w:sz w:val="20"/>
          <w:szCs w:val="20"/>
        </w:rPr>
        <w:t>were examined in a separate report undertaken for the CIF in 2016</w:t>
      </w:r>
      <w:r w:rsidR="00A418DB">
        <w:rPr>
          <w:rStyle w:val="FootnoteReference"/>
          <w:sz w:val="20"/>
          <w:szCs w:val="20"/>
        </w:rPr>
        <w:footnoteReference w:id="14"/>
      </w:r>
      <w:r w:rsidR="00AF65BD" w:rsidRPr="00A418DB">
        <w:rPr>
          <w:sz w:val="20"/>
          <w:szCs w:val="20"/>
        </w:rPr>
        <w:t xml:space="preserve">. </w:t>
      </w:r>
      <w:r w:rsidR="00A418DB" w:rsidRPr="00A418DB">
        <w:rPr>
          <w:sz w:val="20"/>
          <w:szCs w:val="20"/>
        </w:rPr>
        <w:t xml:space="preserve">The output projections presented for construction in the period to 2020 were based on stated Government policy for residential and infrastructure provision in the </w:t>
      </w:r>
      <w:r w:rsidR="00E5573B">
        <w:rPr>
          <w:sz w:val="20"/>
          <w:szCs w:val="20"/>
        </w:rPr>
        <w:t xml:space="preserve">Rebuilding Ireland Housing Action Plan and the </w:t>
      </w:r>
      <w:r w:rsidR="00A418DB" w:rsidRPr="00A418DB">
        <w:rPr>
          <w:sz w:val="20"/>
          <w:szCs w:val="20"/>
        </w:rPr>
        <w:t>Capital Plan</w:t>
      </w:r>
      <w:r w:rsidR="003576E4">
        <w:rPr>
          <w:sz w:val="20"/>
          <w:szCs w:val="20"/>
        </w:rPr>
        <w:t xml:space="preserve"> 2016-2021</w:t>
      </w:r>
      <w:r w:rsidR="00A418DB" w:rsidRPr="00A418DB">
        <w:rPr>
          <w:sz w:val="20"/>
          <w:szCs w:val="20"/>
        </w:rPr>
        <w:t>. The scenario projected</w:t>
      </w:r>
      <w:r w:rsidR="00A418DB" w:rsidRPr="00A418DB">
        <w:rPr>
          <w:rFonts w:cs="Arial"/>
          <w:sz w:val="20"/>
          <w:szCs w:val="20"/>
        </w:rPr>
        <w:t xml:space="preserve"> for construction output expect</w:t>
      </w:r>
      <w:r w:rsidR="0013556E">
        <w:rPr>
          <w:rFonts w:cs="Arial"/>
          <w:sz w:val="20"/>
          <w:szCs w:val="20"/>
        </w:rPr>
        <w:t>s</w:t>
      </w:r>
      <w:r w:rsidR="00A418DB" w:rsidRPr="00A418DB">
        <w:rPr>
          <w:rFonts w:cs="Arial"/>
          <w:sz w:val="20"/>
          <w:szCs w:val="20"/>
        </w:rPr>
        <w:t xml:space="preserve"> </w:t>
      </w:r>
      <w:r w:rsidR="00E5573B">
        <w:rPr>
          <w:rFonts w:cs="Arial"/>
          <w:sz w:val="20"/>
          <w:szCs w:val="20"/>
        </w:rPr>
        <w:t>t</w:t>
      </w:r>
      <w:r w:rsidR="00A418DB" w:rsidRPr="00A418DB">
        <w:rPr>
          <w:rFonts w:cs="Arial"/>
          <w:sz w:val="20"/>
          <w:szCs w:val="20"/>
        </w:rPr>
        <w:t xml:space="preserve">he overall volume of construction output to increase by 12.5 per cent in 2016, 8.5 per cent in 2017 and 7.1 per cent in 2018. The average annual growth rate in the period 2016-2020 </w:t>
      </w:r>
      <w:r w:rsidR="0013556E">
        <w:rPr>
          <w:rFonts w:cs="Arial"/>
          <w:sz w:val="20"/>
          <w:szCs w:val="20"/>
        </w:rPr>
        <w:t>i</w:t>
      </w:r>
      <w:r w:rsidR="00A418DB" w:rsidRPr="00A418DB">
        <w:rPr>
          <w:rFonts w:cs="Arial"/>
          <w:sz w:val="20"/>
          <w:szCs w:val="20"/>
        </w:rPr>
        <w:t xml:space="preserve">s projected at around 9 per cent. The volume of construction output by 2020 </w:t>
      </w:r>
      <w:r w:rsidR="0013556E">
        <w:rPr>
          <w:rFonts w:cs="Arial"/>
          <w:sz w:val="20"/>
          <w:szCs w:val="20"/>
        </w:rPr>
        <w:t>i</w:t>
      </w:r>
      <w:r w:rsidR="00A418DB" w:rsidRPr="00A418DB">
        <w:rPr>
          <w:rFonts w:cs="Arial"/>
          <w:sz w:val="20"/>
          <w:szCs w:val="20"/>
        </w:rPr>
        <w:t>s forecast to reach €20.2 billion (in 2015 prices), or almost 8 per cent of GDP</w:t>
      </w:r>
      <w:r w:rsidR="00E5573B">
        <w:rPr>
          <w:rFonts w:cs="Arial"/>
          <w:sz w:val="20"/>
          <w:szCs w:val="20"/>
        </w:rPr>
        <w:t xml:space="preserve">. </w:t>
      </w:r>
      <w:r w:rsidR="00A418DB" w:rsidRPr="00A418DB">
        <w:rPr>
          <w:rFonts w:cs="Arial"/>
          <w:sz w:val="20"/>
          <w:szCs w:val="20"/>
        </w:rPr>
        <w:t xml:space="preserve">The </w:t>
      </w:r>
      <w:r w:rsidR="00E5573B">
        <w:rPr>
          <w:rFonts w:cs="Arial"/>
          <w:sz w:val="20"/>
          <w:szCs w:val="20"/>
        </w:rPr>
        <w:t xml:space="preserve">scenario </w:t>
      </w:r>
      <w:r w:rsidR="0013556E">
        <w:rPr>
          <w:rFonts w:cs="Arial"/>
          <w:sz w:val="20"/>
          <w:szCs w:val="20"/>
        </w:rPr>
        <w:t>i</w:t>
      </w:r>
      <w:r w:rsidR="00E5573B">
        <w:rPr>
          <w:rFonts w:cs="Arial"/>
          <w:sz w:val="20"/>
          <w:szCs w:val="20"/>
        </w:rPr>
        <w:t>s</w:t>
      </w:r>
      <w:r w:rsidR="00A418DB" w:rsidRPr="00A418DB">
        <w:rPr>
          <w:rFonts w:cs="Arial"/>
          <w:sz w:val="20"/>
          <w:szCs w:val="20"/>
        </w:rPr>
        <w:t xml:space="preserve"> based on </w:t>
      </w:r>
      <w:r w:rsidR="00E5573B">
        <w:rPr>
          <w:rFonts w:cs="Arial"/>
          <w:sz w:val="20"/>
          <w:szCs w:val="20"/>
        </w:rPr>
        <w:t>an estimated</w:t>
      </w:r>
      <w:r w:rsidR="00A418DB" w:rsidRPr="00A418DB">
        <w:rPr>
          <w:rFonts w:cs="Arial"/>
          <w:sz w:val="20"/>
          <w:szCs w:val="20"/>
        </w:rPr>
        <w:t xml:space="preserve"> 14,000 new dwellings</w:t>
      </w:r>
      <w:r w:rsidR="00E5573B">
        <w:rPr>
          <w:rFonts w:cs="Arial"/>
          <w:sz w:val="20"/>
          <w:szCs w:val="20"/>
        </w:rPr>
        <w:t xml:space="preserve"> in 2016</w:t>
      </w:r>
      <w:r w:rsidR="00A418DB" w:rsidRPr="00A418DB">
        <w:rPr>
          <w:rFonts w:cs="Arial"/>
          <w:sz w:val="20"/>
          <w:szCs w:val="20"/>
        </w:rPr>
        <w:t xml:space="preserve">, </w:t>
      </w:r>
      <w:r w:rsidR="00E5573B">
        <w:rPr>
          <w:rFonts w:cs="Arial"/>
          <w:sz w:val="20"/>
          <w:szCs w:val="20"/>
        </w:rPr>
        <w:t xml:space="preserve">increasing to </w:t>
      </w:r>
      <w:r w:rsidR="00A418DB" w:rsidRPr="00A418DB">
        <w:rPr>
          <w:rFonts w:cs="Arial"/>
          <w:sz w:val="20"/>
          <w:szCs w:val="20"/>
        </w:rPr>
        <w:t xml:space="preserve">20,000 units in 2018 and 32,500 in 2020. </w:t>
      </w:r>
    </w:p>
    <w:p w14:paraId="2CDF25EC" w14:textId="77777777" w:rsidR="00A418DB" w:rsidRPr="00A418DB" w:rsidRDefault="00A418DB" w:rsidP="00E5573B">
      <w:pPr>
        <w:rPr>
          <w:rFonts w:cs="Arial"/>
          <w:sz w:val="20"/>
          <w:szCs w:val="20"/>
        </w:rPr>
      </w:pPr>
    </w:p>
    <w:p w14:paraId="22FBE11F" w14:textId="08AAD311" w:rsidR="001F7146" w:rsidRPr="000D3A52" w:rsidRDefault="00E5573B" w:rsidP="001F7146">
      <w:pPr>
        <w:rPr>
          <w:rFonts w:eastAsiaTheme="minorHAnsi"/>
          <w:sz w:val="20"/>
          <w:szCs w:val="20"/>
          <w:lang w:eastAsia="en-US"/>
        </w:rPr>
      </w:pPr>
      <w:r w:rsidRPr="000D3A52">
        <w:rPr>
          <w:rFonts w:cs="Arial"/>
          <w:sz w:val="20"/>
          <w:szCs w:val="20"/>
        </w:rPr>
        <w:t xml:space="preserve">These strong growth rates reflect an industry that </w:t>
      </w:r>
      <w:r w:rsidR="003576E4">
        <w:rPr>
          <w:rFonts w:cs="Arial"/>
          <w:sz w:val="20"/>
          <w:szCs w:val="20"/>
        </w:rPr>
        <w:t>was</w:t>
      </w:r>
      <w:r w:rsidRPr="000D3A52">
        <w:rPr>
          <w:rFonts w:cs="Arial"/>
          <w:sz w:val="20"/>
          <w:szCs w:val="20"/>
        </w:rPr>
        <w:t xml:space="preserve"> in recession for six years until 2013 and </w:t>
      </w:r>
      <w:r>
        <w:rPr>
          <w:rFonts w:cs="Arial"/>
          <w:sz w:val="20"/>
          <w:szCs w:val="20"/>
        </w:rPr>
        <w:t xml:space="preserve">now </w:t>
      </w:r>
      <w:r w:rsidRPr="000D3A52">
        <w:rPr>
          <w:rFonts w:cs="Arial"/>
          <w:sz w:val="20"/>
          <w:szCs w:val="20"/>
        </w:rPr>
        <w:t xml:space="preserve">needs to catch up with an economy </w:t>
      </w:r>
      <w:r w:rsidR="001F7146">
        <w:rPr>
          <w:rFonts w:cs="Arial"/>
          <w:sz w:val="20"/>
          <w:szCs w:val="20"/>
        </w:rPr>
        <w:t xml:space="preserve">and population </w:t>
      </w:r>
      <w:r w:rsidRPr="000D3A52">
        <w:rPr>
          <w:rFonts w:cs="Arial"/>
          <w:sz w:val="20"/>
          <w:szCs w:val="20"/>
        </w:rPr>
        <w:t xml:space="preserve">that has expanded strongly in the meantime. </w:t>
      </w:r>
      <w:r w:rsidR="000A1AA4" w:rsidRPr="000D3A52">
        <w:rPr>
          <w:rFonts w:cs="Arial"/>
          <w:sz w:val="20"/>
          <w:szCs w:val="20"/>
        </w:rPr>
        <w:t xml:space="preserve">Notwithstanding the uncertainty over Brexit, </w:t>
      </w:r>
      <w:r w:rsidR="000A1AA4">
        <w:rPr>
          <w:rFonts w:cs="Arial"/>
          <w:sz w:val="20"/>
          <w:szCs w:val="20"/>
        </w:rPr>
        <w:t>there is a</w:t>
      </w:r>
      <w:r w:rsidR="000A1AA4" w:rsidRPr="000D3A52">
        <w:rPr>
          <w:rFonts w:cs="Arial"/>
          <w:sz w:val="20"/>
          <w:szCs w:val="20"/>
        </w:rPr>
        <w:t xml:space="preserve"> substantial volume of work planned by the commercial and industrial sectors</w:t>
      </w:r>
      <w:r w:rsidR="001F7146">
        <w:rPr>
          <w:rFonts w:cs="Arial"/>
          <w:sz w:val="20"/>
          <w:szCs w:val="20"/>
        </w:rPr>
        <w:t>.</w:t>
      </w:r>
      <w:r w:rsidR="000A1AA4" w:rsidRPr="000D3A52">
        <w:rPr>
          <w:rFonts w:cs="Arial"/>
          <w:sz w:val="20"/>
          <w:szCs w:val="20"/>
        </w:rPr>
        <w:t xml:space="preserve"> There is also considerable pent-up demand for housing which, if delivered, could see the level of housebuilding by 2020 returning to more normal level</w:t>
      </w:r>
      <w:r w:rsidR="000A1AA4">
        <w:rPr>
          <w:rFonts w:cs="Arial"/>
          <w:sz w:val="20"/>
          <w:szCs w:val="20"/>
        </w:rPr>
        <w:t>s</w:t>
      </w:r>
      <w:r w:rsidR="000A1AA4" w:rsidRPr="000D3A52">
        <w:rPr>
          <w:rFonts w:cs="Arial"/>
          <w:sz w:val="20"/>
          <w:szCs w:val="20"/>
        </w:rPr>
        <w:t xml:space="preserve">. </w:t>
      </w:r>
      <w:r w:rsidR="001F7146">
        <w:rPr>
          <w:rFonts w:cs="Arial"/>
          <w:sz w:val="20"/>
          <w:szCs w:val="20"/>
        </w:rPr>
        <w:t xml:space="preserve">Thus </w:t>
      </w:r>
      <w:r w:rsidR="001F7146" w:rsidRPr="000D3A52">
        <w:rPr>
          <w:rFonts w:cs="Arial"/>
          <w:sz w:val="20"/>
          <w:szCs w:val="20"/>
        </w:rPr>
        <w:t xml:space="preserve">provided the required conditions are in place to facilitate this </w:t>
      </w:r>
      <w:r w:rsidR="001F7146">
        <w:rPr>
          <w:rFonts w:cs="Arial"/>
          <w:sz w:val="20"/>
          <w:szCs w:val="20"/>
        </w:rPr>
        <w:t xml:space="preserve">projected </w:t>
      </w:r>
      <w:r w:rsidR="001F7146" w:rsidRPr="003326B4">
        <w:rPr>
          <w:rFonts w:cs="Arial"/>
          <w:sz w:val="20"/>
          <w:szCs w:val="20"/>
        </w:rPr>
        <w:t>growth</w:t>
      </w:r>
      <w:r w:rsidR="000D2D68" w:rsidRPr="003326B4">
        <w:rPr>
          <w:rFonts w:cs="Arial"/>
          <w:sz w:val="20"/>
          <w:szCs w:val="20"/>
        </w:rPr>
        <w:t>, including the necessary investment</w:t>
      </w:r>
      <w:r w:rsidR="00D14DD1" w:rsidRPr="003326B4">
        <w:rPr>
          <w:rFonts w:cs="Arial"/>
          <w:sz w:val="20"/>
          <w:szCs w:val="20"/>
        </w:rPr>
        <w:t xml:space="preserve"> </w:t>
      </w:r>
      <w:r w:rsidR="000D2D68" w:rsidRPr="003326B4">
        <w:rPr>
          <w:rFonts w:cs="Arial"/>
          <w:sz w:val="20"/>
          <w:szCs w:val="20"/>
        </w:rPr>
        <w:t>in infrastructure services</w:t>
      </w:r>
      <w:r w:rsidR="00D14DD1" w:rsidRPr="003326B4">
        <w:rPr>
          <w:rFonts w:cs="Arial"/>
          <w:sz w:val="20"/>
          <w:szCs w:val="20"/>
        </w:rPr>
        <w:t xml:space="preserve"> (e.g. roads, water and waste water</w:t>
      </w:r>
      <w:r w:rsidR="001F7146" w:rsidRPr="003326B4">
        <w:rPr>
          <w:rFonts w:cs="Arial"/>
          <w:sz w:val="20"/>
          <w:szCs w:val="20"/>
        </w:rPr>
        <w:t xml:space="preserve">, </w:t>
      </w:r>
      <w:r w:rsidR="001F7146" w:rsidRPr="003326B4">
        <w:rPr>
          <w:rFonts w:eastAsiaTheme="minorHAnsi"/>
          <w:sz w:val="20"/>
          <w:szCs w:val="20"/>
          <w:lang w:eastAsia="en-US"/>
        </w:rPr>
        <w:t xml:space="preserve">the </w:t>
      </w:r>
      <w:r w:rsidR="001F7146" w:rsidRPr="001F7146">
        <w:rPr>
          <w:rFonts w:eastAsiaTheme="minorHAnsi"/>
          <w:sz w:val="20"/>
          <w:szCs w:val="20"/>
          <w:lang w:eastAsia="en-US"/>
        </w:rPr>
        <w:t>industry is on course to experience the most positive outlook for construction in a decade.</w:t>
      </w:r>
      <w:r w:rsidR="001F7146" w:rsidRPr="000D3A52">
        <w:rPr>
          <w:rFonts w:eastAsiaTheme="minorHAnsi"/>
          <w:b/>
          <w:sz w:val="20"/>
          <w:szCs w:val="20"/>
          <w:lang w:eastAsia="en-US"/>
        </w:rPr>
        <w:t xml:space="preserve"> </w:t>
      </w:r>
    </w:p>
    <w:p w14:paraId="19DC6509" w14:textId="58FD5FC4" w:rsidR="00262638" w:rsidRPr="00C47170" w:rsidRDefault="001D1193" w:rsidP="00262638">
      <w:pPr>
        <w:pStyle w:val="DKM2"/>
        <w:rPr>
          <w:sz w:val="22"/>
          <w:szCs w:val="22"/>
        </w:rPr>
      </w:pPr>
      <w:bookmarkStart w:id="10" w:name="_Toc478116683"/>
      <w:r w:rsidRPr="00C47170">
        <w:rPr>
          <w:sz w:val="22"/>
          <w:szCs w:val="22"/>
        </w:rPr>
        <w:t xml:space="preserve">Skills </w:t>
      </w:r>
      <w:r w:rsidR="00262638" w:rsidRPr="00C47170">
        <w:rPr>
          <w:sz w:val="22"/>
          <w:szCs w:val="22"/>
        </w:rPr>
        <w:t>Capacity Issue</w:t>
      </w:r>
      <w:bookmarkEnd w:id="10"/>
    </w:p>
    <w:p w14:paraId="44600C8A" w14:textId="7BBBBF90" w:rsidR="005F63F1" w:rsidRDefault="005C0A38" w:rsidP="00D35A57">
      <w:pPr>
        <w:pStyle w:val="DKMBodyText"/>
        <w:rPr>
          <w:rFonts w:cs="Calibri"/>
          <w:sz w:val="20"/>
          <w:szCs w:val="20"/>
        </w:rPr>
      </w:pPr>
      <w:r w:rsidRPr="005F63F1">
        <w:rPr>
          <w:sz w:val="20"/>
          <w:szCs w:val="20"/>
        </w:rPr>
        <w:t xml:space="preserve">Given </w:t>
      </w:r>
      <w:r w:rsidR="00D35A57">
        <w:rPr>
          <w:sz w:val="20"/>
          <w:szCs w:val="20"/>
        </w:rPr>
        <w:t xml:space="preserve">the current positive momentum </w:t>
      </w:r>
      <w:r w:rsidR="003B5385">
        <w:rPr>
          <w:sz w:val="20"/>
          <w:szCs w:val="20"/>
        </w:rPr>
        <w:t>regarding the sector’s prospects</w:t>
      </w:r>
      <w:r w:rsidR="00D35A57">
        <w:rPr>
          <w:sz w:val="20"/>
          <w:szCs w:val="20"/>
        </w:rPr>
        <w:t>, there</w:t>
      </w:r>
      <w:r w:rsidR="005F63F1">
        <w:rPr>
          <w:sz w:val="20"/>
          <w:szCs w:val="20"/>
        </w:rPr>
        <w:t xml:space="preserve"> </w:t>
      </w:r>
      <w:r w:rsidR="005F63F1" w:rsidRPr="005C0160">
        <w:rPr>
          <w:rFonts w:cs="Calibri"/>
          <w:sz w:val="20"/>
          <w:szCs w:val="20"/>
        </w:rPr>
        <w:t>is real concern that the industry is lacking the necessary skilled workers in the labour market and amongst those coming out of full-time education and training to meet the demands on it over the medium-term.  Significant numbers left the sector at the start of the recession, and either upskilled or emigrated, while the unemployment rate, although decreasing, is currently at its highest for persons previously employed in construction.</w:t>
      </w:r>
      <w:r w:rsidR="005F63F1">
        <w:rPr>
          <w:rStyle w:val="FootnoteReference"/>
          <w:rFonts w:cs="Calibri"/>
          <w:sz w:val="20"/>
          <w:szCs w:val="20"/>
        </w:rPr>
        <w:footnoteReference w:id="15"/>
      </w:r>
      <w:r w:rsidR="005F63F1" w:rsidRPr="005C0160">
        <w:rPr>
          <w:rFonts w:cs="Calibri"/>
          <w:sz w:val="20"/>
          <w:szCs w:val="20"/>
        </w:rPr>
        <w:t xml:space="preserve"> Moreover, as the overall construction workforce ages, there will be a greater need for new entrants who will need time to acquire the </w:t>
      </w:r>
      <w:r w:rsidR="005F63F1">
        <w:rPr>
          <w:rFonts w:cs="Calibri"/>
          <w:sz w:val="20"/>
          <w:szCs w:val="20"/>
        </w:rPr>
        <w:t xml:space="preserve">requisite </w:t>
      </w:r>
      <w:r w:rsidR="005F63F1" w:rsidRPr="005C0160">
        <w:rPr>
          <w:rFonts w:cs="Calibri"/>
          <w:sz w:val="20"/>
          <w:szCs w:val="20"/>
        </w:rPr>
        <w:t xml:space="preserve">skills and experience. </w:t>
      </w:r>
    </w:p>
    <w:p w14:paraId="5CD49830" w14:textId="77777777" w:rsidR="00F64B55" w:rsidRDefault="00F64B55" w:rsidP="00D35A57">
      <w:pPr>
        <w:pStyle w:val="DKMBodyText"/>
        <w:rPr>
          <w:rFonts w:cs="Calibri"/>
          <w:sz w:val="20"/>
          <w:szCs w:val="20"/>
        </w:rPr>
      </w:pPr>
    </w:p>
    <w:p w14:paraId="62DF533C" w14:textId="60E56FE2" w:rsidR="00F64B55" w:rsidRDefault="00F64B55" w:rsidP="00D35A57">
      <w:pPr>
        <w:pStyle w:val="DKMBodyText"/>
        <w:rPr>
          <w:rFonts w:cs="Calibri"/>
          <w:sz w:val="20"/>
          <w:szCs w:val="20"/>
        </w:rPr>
      </w:pPr>
      <w:r>
        <w:rPr>
          <w:rFonts w:cs="Calibri"/>
          <w:sz w:val="20"/>
          <w:szCs w:val="20"/>
        </w:rPr>
        <w:t xml:space="preserve">Based on an analysis of the implications of the construction projections set out above for skills demand, the total direct employment in construction </w:t>
      </w:r>
      <w:r w:rsidR="001D1193">
        <w:rPr>
          <w:rFonts w:cs="Calibri"/>
          <w:sz w:val="20"/>
          <w:szCs w:val="20"/>
        </w:rPr>
        <w:t>i</w:t>
      </w:r>
      <w:r>
        <w:rPr>
          <w:rFonts w:cs="Calibri"/>
          <w:sz w:val="20"/>
          <w:szCs w:val="20"/>
        </w:rPr>
        <w:t xml:space="preserve">s forecast to increase by 76,000 between 2016 and 2020. This would generate direct employment of around 213,000 by 2020. In addition there will be significant replacement demand for workers required to </w:t>
      </w:r>
      <w:r w:rsidR="001D1193">
        <w:rPr>
          <w:rFonts w:cs="Calibri"/>
          <w:sz w:val="20"/>
          <w:szCs w:val="20"/>
        </w:rPr>
        <w:t xml:space="preserve">do </w:t>
      </w:r>
      <w:r>
        <w:rPr>
          <w:rFonts w:cs="Calibri"/>
          <w:sz w:val="20"/>
          <w:szCs w:val="20"/>
        </w:rPr>
        <w:t xml:space="preserve">the jobs of individuals who leave the labour market as a result of illness, retirement or death. The cumulative replacement demand in the period 2016-2020 </w:t>
      </w:r>
      <w:r w:rsidR="001D1193">
        <w:rPr>
          <w:rFonts w:cs="Calibri"/>
          <w:sz w:val="20"/>
          <w:szCs w:val="20"/>
        </w:rPr>
        <w:t>i</w:t>
      </w:r>
      <w:r>
        <w:rPr>
          <w:rFonts w:cs="Calibri"/>
          <w:sz w:val="20"/>
          <w:szCs w:val="20"/>
        </w:rPr>
        <w:t>s estimated at almost 36,000 construction workers. Thus based on an expansion (</w:t>
      </w:r>
      <w:r w:rsidR="0013556E">
        <w:rPr>
          <w:rFonts w:cs="Calibri"/>
          <w:sz w:val="20"/>
          <w:szCs w:val="20"/>
        </w:rPr>
        <w:t>+</w:t>
      </w:r>
      <w:r>
        <w:rPr>
          <w:rFonts w:cs="Calibri"/>
          <w:sz w:val="20"/>
          <w:szCs w:val="20"/>
        </w:rPr>
        <w:t>76,000 jobs) and replacement (</w:t>
      </w:r>
      <w:r w:rsidR="0013556E">
        <w:rPr>
          <w:rFonts w:cs="Calibri"/>
          <w:sz w:val="20"/>
          <w:szCs w:val="20"/>
        </w:rPr>
        <w:t>+</w:t>
      </w:r>
      <w:r>
        <w:rPr>
          <w:rFonts w:cs="Calibri"/>
          <w:sz w:val="20"/>
          <w:szCs w:val="20"/>
        </w:rPr>
        <w:t>36,000 jobs)</w:t>
      </w:r>
      <w:r w:rsidR="001D1193">
        <w:rPr>
          <w:rFonts w:cs="Calibri"/>
          <w:sz w:val="20"/>
          <w:szCs w:val="20"/>
        </w:rPr>
        <w:t xml:space="preserve"> demand</w:t>
      </w:r>
      <w:r>
        <w:rPr>
          <w:rFonts w:cs="Calibri"/>
          <w:sz w:val="20"/>
          <w:szCs w:val="20"/>
        </w:rPr>
        <w:t xml:space="preserve">, the total labour requirement </w:t>
      </w:r>
      <w:r w:rsidR="0013556E">
        <w:rPr>
          <w:rFonts w:cs="Calibri"/>
          <w:sz w:val="20"/>
          <w:szCs w:val="20"/>
        </w:rPr>
        <w:t>i</w:t>
      </w:r>
      <w:r w:rsidR="001D1193">
        <w:rPr>
          <w:rFonts w:cs="Calibri"/>
          <w:sz w:val="20"/>
          <w:szCs w:val="20"/>
        </w:rPr>
        <w:t>s</w:t>
      </w:r>
      <w:r>
        <w:rPr>
          <w:rFonts w:cs="Calibri"/>
          <w:sz w:val="20"/>
          <w:szCs w:val="20"/>
        </w:rPr>
        <w:t xml:space="preserve"> </w:t>
      </w:r>
      <w:r w:rsidR="001D1193">
        <w:rPr>
          <w:rFonts w:cs="Calibri"/>
          <w:sz w:val="20"/>
          <w:szCs w:val="20"/>
        </w:rPr>
        <w:t xml:space="preserve">projected at </w:t>
      </w:r>
      <w:r>
        <w:rPr>
          <w:rFonts w:cs="Calibri"/>
          <w:sz w:val="20"/>
          <w:szCs w:val="20"/>
        </w:rPr>
        <w:t>around 112,000 over the four years</w:t>
      </w:r>
      <w:r w:rsidR="003576E4">
        <w:rPr>
          <w:rFonts w:cs="Calibri"/>
          <w:sz w:val="20"/>
          <w:szCs w:val="20"/>
        </w:rPr>
        <w:t xml:space="preserve"> 2016-2020</w:t>
      </w:r>
      <w:r>
        <w:rPr>
          <w:rFonts w:cs="Calibri"/>
          <w:sz w:val="20"/>
          <w:szCs w:val="20"/>
        </w:rPr>
        <w:t xml:space="preserve">. </w:t>
      </w:r>
      <w:r w:rsidR="0047745C">
        <w:rPr>
          <w:rFonts w:cs="Calibri"/>
          <w:sz w:val="20"/>
          <w:szCs w:val="20"/>
        </w:rPr>
        <w:t xml:space="preserve">As well as those directly employed, there will also be others indirectly employed in the supply chain. </w:t>
      </w:r>
      <w:r>
        <w:rPr>
          <w:rFonts w:cs="Calibri"/>
          <w:sz w:val="20"/>
          <w:szCs w:val="20"/>
        </w:rPr>
        <w:t xml:space="preserve">This challenge </w:t>
      </w:r>
      <w:r w:rsidR="0047745C">
        <w:rPr>
          <w:rFonts w:cs="Calibri"/>
          <w:sz w:val="20"/>
          <w:szCs w:val="20"/>
        </w:rPr>
        <w:t>needs to be considered</w:t>
      </w:r>
      <w:r>
        <w:rPr>
          <w:rFonts w:cs="Calibri"/>
          <w:sz w:val="20"/>
          <w:szCs w:val="20"/>
        </w:rPr>
        <w:t xml:space="preserve"> in the context of a </w:t>
      </w:r>
      <w:r w:rsidR="0047745C">
        <w:rPr>
          <w:rFonts w:cs="Calibri"/>
          <w:sz w:val="20"/>
          <w:szCs w:val="20"/>
        </w:rPr>
        <w:t>skills gap</w:t>
      </w:r>
      <w:r>
        <w:rPr>
          <w:rFonts w:cs="Calibri"/>
          <w:sz w:val="20"/>
          <w:szCs w:val="20"/>
        </w:rPr>
        <w:t xml:space="preserve"> of </w:t>
      </w:r>
      <w:r w:rsidR="0047745C">
        <w:rPr>
          <w:rFonts w:cs="Calibri"/>
          <w:sz w:val="20"/>
          <w:szCs w:val="20"/>
        </w:rPr>
        <w:t>over 400,000 each year by 2021</w:t>
      </w:r>
      <w:r w:rsidR="003576E4">
        <w:rPr>
          <w:rFonts w:cs="Calibri"/>
          <w:sz w:val="20"/>
          <w:szCs w:val="20"/>
        </w:rPr>
        <w:t xml:space="preserve"> in the UK construction industry</w:t>
      </w:r>
      <w:r w:rsidR="0047745C">
        <w:rPr>
          <w:rFonts w:cs="Calibri"/>
          <w:sz w:val="20"/>
          <w:szCs w:val="20"/>
        </w:rPr>
        <w:t>, which will be required to deliver the housing and infrastructure needs of the economy.</w:t>
      </w:r>
      <w:r w:rsidR="001D1193">
        <w:rPr>
          <w:rStyle w:val="FootnoteReference"/>
          <w:rFonts w:cs="Calibri"/>
          <w:sz w:val="20"/>
          <w:szCs w:val="20"/>
        </w:rPr>
        <w:footnoteReference w:id="16"/>
      </w:r>
      <w:r w:rsidR="0047745C">
        <w:rPr>
          <w:rFonts w:cs="Calibri"/>
          <w:sz w:val="20"/>
          <w:szCs w:val="20"/>
        </w:rPr>
        <w:t xml:space="preserve">  </w:t>
      </w:r>
    </w:p>
    <w:p w14:paraId="7D19659B" w14:textId="77777777" w:rsidR="003B5385" w:rsidRPr="001D1193" w:rsidRDefault="003B5385" w:rsidP="001D1193">
      <w:pPr>
        <w:pStyle w:val="DKMBodyText"/>
        <w:rPr>
          <w:rFonts w:asciiTheme="minorHAnsi" w:hAnsiTheme="minorHAnsi" w:cs="Calibri"/>
          <w:sz w:val="20"/>
          <w:szCs w:val="20"/>
        </w:rPr>
      </w:pPr>
    </w:p>
    <w:p w14:paraId="525BEEA8" w14:textId="6FC40BDE" w:rsidR="003B5385" w:rsidRPr="005C0160" w:rsidRDefault="0047745C" w:rsidP="001D1193">
      <w:pPr>
        <w:autoSpaceDE w:val="0"/>
        <w:autoSpaceDN w:val="0"/>
        <w:adjustRightInd w:val="0"/>
        <w:rPr>
          <w:rFonts w:cs="Calibri"/>
          <w:sz w:val="20"/>
          <w:szCs w:val="20"/>
        </w:rPr>
      </w:pPr>
      <w:r w:rsidRPr="001D1193">
        <w:rPr>
          <w:rFonts w:cs="Calibri"/>
          <w:sz w:val="20"/>
          <w:szCs w:val="20"/>
        </w:rPr>
        <w:t>Encouraging more school leavers into apprenticeships would generate a pool of young talent to serve the industry for decades to come.  The forecast total requirement for new apprentices in 2020 is around 4,000, over twice the intake in 2015</w:t>
      </w:r>
      <w:r w:rsidR="003576E4">
        <w:rPr>
          <w:rStyle w:val="FootnoteReference"/>
          <w:rFonts w:cs="Calibri"/>
          <w:sz w:val="20"/>
          <w:szCs w:val="20"/>
        </w:rPr>
        <w:footnoteReference w:id="17"/>
      </w:r>
      <w:r w:rsidRPr="001D1193">
        <w:rPr>
          <w:rFonts w:cs="Calibri"/>
          <w:sz w:val="20"/>
          <w:szCs w:val="20"/>
        </w:rPr>
        <w:t xml:space="preserve">. Thus an enhancement of the capacity is essential to ensure the right talent </w:t>
      </w:r>
      <w:r w:rsidR="003576E4">
        <w:rPr>
          <w:rFonts w:cs="Calibri"/>
          <w:sz w:val="20"/>
          <w:szCs w:val="20"/>
        </w:rPr>
        <w:t xml:space="preserve">exists </w:t>
      </w:r>
      <w:r w:rsidRPr="001D1193">
        <w:rPr>
          <w:rFonts w:cs="Calibri"/>
          <w:sz w:val="20"/>
          <w:szCs w:val="20"/>
        </w:rPr>
        <w:t xml:space="preserve">to equip the industry with </w:t>
      </w:r>
      <w:r w:rsidR="001D1193" w:rsidRPr="001D1193">
        <w:rPr>
          <w:rFonts w:cs="Calibri"/>
          <w:sz w:val="20"/>
          <w:szCs w:val="20"/>
        </w:rPr>
        <w:t xml:space="preserve">the requisite skills that will best serve </w:t>
      </w:r>
      <w:r w:rsidR="0003381C">
        <w:rPr>
          <w:rFonts w:cs="Calibri"/>
          <w:sz w:val="20"/>
          <w:szCs w:val="20"/>
        </w:rPr>
        <w:t>it</w:t>
      </w:r>
      <w:r w:rsidR="001D1193" w:rsidRPr="001D1193">
        <w:rPr>
          <w:rFonts w:cs="Calibri"/>
          <w:sz w:val="20"/>
          <w:szCs w:val="20"/>
        </w:rPr>
        <w:t xml:space="preserve"> in the long-term. </w:t>
      </w:r>
      <w:r w:rsidR="001D1193">
        <w:rPr>
          <w:rFonts w:cs="Calibri"/>
          <w:sz w:val="20"/>
          <w:szCs w:val="20"/>
        </w:rPr>
        <w:t xml:space="preserve">Indeed the UK research goes further and calls for a </w:t>
      </w:r>
      <w:r w:rsidR="001D1193" w:rsidRPr="001D1193">
        <w:rPr>
          <w:rFonts w:cs="FSElliotPro"/>
          <w:sz w:val="20"/>
          <w:szCs w:val="20"/>
        </w:rPr>
        <w:t>greater emphasis on regional,</w:t>
      </w:r>
      <w:r w:rsidR="001D1193">
        <w:rPr>
          <w:rFonts w:cs="FSElliotPro"/>
          <w:sz w:val="20"/>
          <w:szCs w:val="20"/>
        </w:rPr>
        <w:t xml:space="preserve"> </w:t>
      </w:r>
      <w:r w:rsidR="001D1193" w:rsidRPr="001D1193">
        <w:rPr>
          <w:rFonts w:cs="FSElliotPro"/>
          <w:sz w:val="20"/>
          <w:szCs w:val="20"/>
        </w:rPr>
        <w:t>needs-based training and upskilling</w:t>
      </w:r>
      <w:r w:rsidR="001D1193">
        <w:rPr>
          <w:rFonts w:cs="FSElliotPro"/>
          <w:sz w:val="20"/>
          <w:szCs w:val="20"/>
        </w:rPr>
        <w:t xml:space="preserve"> </w:t>
      </w:r>
      <w:r w:rsidR="001D1193" w:rsidRPr="001D1193">
        <w:rPr>
          <w:rFonts w:cs="FSElliotPro"/>
          <w:sz w:val="20"/>
          <w:szCs w:val="20"/>
        </w:rPr>
        <w:t>to truly</w:t>
      </w:r>
      <w:r w:rsidR="001D1193">
        <w:rPr>
          <w:rFonts w:cs="FSElliotPro"/>
          <w:sz w:val="20"/>
          <w:szCs w:val="20"/>
        </w:rPr>
        <w:t xml:space="preserve"> </w:t>
      </w:r>
      <w:r w:rsidR="001D1193" w:rsidRPr="001D1193">
        <w:rPr>
          <w:rFonts w:cs="FSElliotPro"/>
          <w:sz w:val="20"/>
          <w:szCs w:val="20"/>
        </w:rPr>
        <w:t>tackle the issues at play in a</w:t>
      </w:r>
      <w:r w:rsidR="001D1193">
        <w:rPr>
          <w:rFonts w:cs="FSElliotPro"/>
          <w:sz w:val="20"/>
          <w:szCs w:val="20"/>
        </w:rPr>
        <w:t xml:space="preserve"> short timeframe. This issue also needs to be tacked in the Irish market, in anticipation of the National Planning Framework which aims to deliver more balanced regional development. </w:t>
      </w:r>
      <w:r w:rsidR="001D1193">
        <w:rPr>
          <w:rFonts w:cs="Calibri"/>
          <w:sz w:val="20"/>
          <w:szCs w:val="20"/>
        </w:rPr>
        <w:t xml:space="preserve"> </w:t>
      </w:r>
    </w:p>
    <w:p w14:paraId="31EFDA5F" w14:textId="74F26C24" w:rsidR="00B914F4" w:rsidRPr="00C47170" w:rsidRDefault="0047745C" w:rsidP="001A376E">
      <w:pPr>
        <w:pStyle w:val="DKM2"/>
        <w:rPr>
          <w:sz w:val="22"/>
          <w:szCs w:val="22"/>
        </w:rPr>
      </w:pPr>
      <w:bookmarkStart w:id="11" w:name="_Toc478116684"/>
      <w:r w:rsidRPr="00C47170">
        <w:rPr>
          <w:sz w:val="22"/>
          <w:szCs w:val="22"/>
        </w:rPr>
        <w:t>Building Cost Inflation</w:t>
      </w:r>
      <w:bookmarkEnd w:id="11"/>
    </w:p>
    <w:p w14:paraId="3E51A817" w14:textId="2D84EC4C" w:rsidR="001A376E" w:rsidRPr="003326B4" w:rsidRDefault="001A376E" w:rsidP="001A376E">
      <w:pPr>
        <w:pStyle w:val="DKMBodyText"/>
        <w:rPr>
          <w:sz w:val="20"/>
          <w:szCs w:val="20"/>
        </w:rPr>
      </w:pPr>
      <w:r w:rsidRPr="001A376E">
        <w:rPr>
          <w:sz w:val="20"/>
          <w:szCs w:val="20"/>
        </w:rPr>
        <w:t xml:space="preserve">The issue of building and construction inflation was a major factor </w:t>
      </w:r>
      <w:r w:rsidR="0013556E">
        <w:rPr>
          <w:sz w:val="20"/>
          <w:szCs w:val="20"/>
        </w:rPr>
        <w:t>which contributed</w:t>
      </w:r>
      <w:r w:rsidRPr="001A376E">
        <w:rPr>
          <w:sz w:val="20"/>
          <w:szCs w:val="20"/>
        </w:rPr>
        <w:t xml:space="preserve"> to the price of residential and non-residential buildings and infrastructure during the construction boom of the late 1990s through to 2007. </w:t>
      </w:r>
      <w:r w:rsidR="00F83F74">
        <w:rPr>
          <w:sz w:val="20"/>
          <w:szCs w:val="20"/>
        </w:rPr>
        <w:t xml:space="preserve">Over the period </w:t>
      </w:r>
      <w:r w:rsidR="003F606B">
        <w:rPr>
          <w:sz w:val="20"/>
          <w:szCs w:val="20"/>
        </w:rPr>
        <w:t>1998-2001, t</w:t>
      </w:r>
      <w:r w:rsidRPr="001A376E">
        <w:rPr>
          <w:sz w:val="20"/>
          <w:szCs w:val="20"/>
        </w:rPr>
        <w:t xml:space="preserve">he </w:t>
      </w:r>
      <w:r w:rsidR="003F606B">
        <w:rPr>
          <w:sz w:val="20"/>
          <w:szCs w:val="20"/>
        </w:rPr>
        <w:t xml:space="preserve">annual average </w:t>
      </w:r>
      <w:r w:rsidRPr="001A376E">
        <w:rPr>
          <w:sz w:val="20"/>
          <w:szCs w:val="20"/>
        </w:rPr>
        <w:t xml:space="preserve">rate of construction </w:t>
      </w:r>
      <w:r w:rsidR="00F83F74">
        <w:rPr>
          <w:sz w:val="20"/>
          <w:szCs w:val="20"/>
        </w:rPr>
        <w:t xml:space="preserve">tender price </w:t>
      </w:r>
      <w:r w:rsidRPr="001A376E">
        <w:rPr>
          <w:sz w:val="20"/>
          <w:szCs w:val="20"/>
        </w:rPr>
        <w:t xml:space="preserve">inflation reached </w:t>
      </w:r>
      <w:r w:rsidR="003F606B">
        <w:rPr>
          <w:sz w:val="20"/>
          <w:szCs w:val="20"/>
        </w:rPr>
        <w:t xml:space="preserve">almost 11 per cent. In the period 2004-2007, the annual rate moderated to around 5 per cent. With the onset of the financial crisis and the building crash, tender prices plummeted by one-third between 2007 and 2011. Since prices bottomed out in 2011, tender prices have risen sharply in the past five years by over 27 per cent or around 5 per cent on average per year.  </w:t>
      </w:r>
      <w:r w:rsidR="00CF50AC">
        <w:rPr>
          <w:sz w:val="20"/>
          <w:szCs w:val="20"/>
        </w:rPr>
        <w:t>The most recent data available shows tender price rose by 6.3 per cent in 2016 and the SCSI expects tender prices to rise by 3 per cent in the first half of 2017.</w:t>
      </w:r>
      <w:r w:rsidR="00EB6EA7">
        <w:rPr>
          <w:sz w:val="20"/>
          <w:szCs w:val="20"/>
        </w:rPr>
        <w:t xml:space="preserve"> Tender prices are likely to continue rising in the medium-term due to higher costs of labour, subcontractors and </w:t>
      </w:r>
      <w:r w:rsidR="00EB6EA7" w:rsidRPr="003326B4">
        <w:rPr>
          <w:sz w:val="20"/>
          <w:szCs w:val="20"/>
        </w:rPr>
        <w:t>materials.</w:t>
      </w:r>
      <w:r w:rsidR="0003381C" w:rsidRPr="003326B4">
        <w:rPr>
          <w:sz w:val="20"/>
          <w:szCs w:val="20"/>
        </w:rPr>
        <w:t xml:space="preserve"> However, this inflation measure only relates to residential and non-residential building work as opposed to civil engineering, wh</w:t>
      </w:r>
      <w:r w:rsidR="00B26944" w:rsidRPr="003326B4">
        <w:rPr>
          <w:sz w:val="20"/>
          <w:szCs w:val="20"/>
        </w:rPr>
        <w:t xml:space="preserve">ich has recoded little or </w:t>
      </w:r>
      <w:r w:rsidR="0003381C" w:rsidRPr="003326B4">
        <w:rPr>
          <w:sz w:val="20"/>
          <w:szCs w:val="20"/>
        </w:rPr>
        <w:t>inflation</w:t>
      </w:r>
      <w:r w:rsidR="00B26944" w:rsidRPr="003326B4">
        <w:rPr>
          <w:sz w:val="20"/>
          <w:szCs w:val="20"/>
        </w:rPr>
        <w:t>,</w:t>
      </w:r>
      <w:r w:rsidR="0003381C" w:rsidRPr="003326B4">
        <w:rPr>
          <w:sz w:val="20"/>
          <w:szCs w:val="20"/>
        </w:rPr>
        <w:t xml:space="preserve"> indicating that now is a good time to invest in civil engineering projects. </w:t>
      </w:r>
    </w:p>
    <w:p w14:paraId="35DE3C68" w14:textId="58B08556" w:rsidR="00F83F74" w:rsidRPr="00B26944" w:rsidRDefault="00F83F74" w:rsidP="008E47D7">
      <w:pPr>
        <w:pStyle w:val="DKMFigure"/>
        <w:keepNext/>
      </w:pPr>
      <w:bookmarkStart w:id="12" w:name="_Toc478116710"/>
      <w:r w:rsidRPr="00B26944">
        <w:t>Construction Tender Price Inflation 1998-2017F</w:t>
      </w:r>
      <w:bookmarkEnd w:id="12"/>
    </w:p>
    <w:p w14:paraId="35EAF0AE" w14:textId="24A0D307" w:rsidR="00A21F50" w:rsidRDefault="00F83F74" w:rsidP="005F63F1">
      <w:pPr>
        <w:pStyle w:val="DKMBody"/>
        <w:rPr>
          <w:sz w:val="20"/>
          <w:szCs w:val="20"/>
        </w:rPr>
      </w:pPr>
      <w:r w:rsidRPr="00F83F74">
        <w:rPr>
          <w:noProof/>
        </w:rPr>
        <w:drawing>
          <wp:inline distT="0" distB="0" distL="0" distR="0" wp14:anchorId="48CC8C1C" wp14:editId="5E96A619">
            <wp:extent cx="4720590" cy="255270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37089" cy="2561622"/>
                    </a:xfrm>
                    <a:prstGeom prst="rect">
                      <a:avLst/>
                    </a:prstGeom>
                  </pic:spPr>
                </pic:pic>
              </a:graphicData>
            </a:graphic>
          </wp:inline>
        </w:drawing>
      </w:r>
    </w:p>
    <w:p w14:paraId="76214336" w14:textId="751C5FD5" w:rsidR="00F83F74" w:rsidRPr="00A04E3C" w:rsidRDefault="00F83F74" w:rsidP="00F83F74">
      <w:pPr>
        <w:pStyle w:val="DKMBody"/>
        <w:spacing w:line="240" w:lineRule="auto"/>
        <w:rPr>
          <w:sz w:val="18"/>
          <w:szCs w:val="18"/>
        </w:rPr>
      </w:pPr>
      <w:r w:rsidRPr="00A04E3C">
        <w:rPr>
          <w:sz w:val="18"/>
          <w:szCs w:val="18"/>
        </w:rPr>
        <w:t>Source: SCSI</w:t>
      </w:r>
      <w:r>
        <w:rPr>
          <w:sz w:val="18"/>
          <w:szCs w:val="18"/>
        </w:rPr>
        <w:t>.</w:t>
      </w:r>
    </w:p>
    <w:p w14:paraId="12572A24" w14:textId="699BFBD9" w:rsidR="00EB6EA7" w:rsidRPr="00EB6EA7" w:rsidRDefault="00C859E7" w:rsidP="00EB6EA7">
      <w:pPr>
        <w:pStyle w:val="DKMBody"/>
        <w:rPr>
          <w:sz w:val="20"/>
          <w:szCs w:val="20"/>
        </w:rPr>
      </w:pPr>
      <w:r>
        <w:rPr>
          <w:sz w:val="20"/>
          <w:szCs w:val="20"/>
        </w:rPr>
        <w:t>T</w:t>
      </w:r>
      <w:r w:rsidR="00EB6EA7" w:rsidRPr="00EB6EA7">
        <w:rPr>
          <w:sz w:val="20"/>
          <w:szCs w:val="20"/>
        </w:rPr>
        <w:t xml:space="preserve">otal construction labour costs (including employer costs) increased in 2013 (+1.8%) and in 2014 (+5%) and in 2016 (+3.4%), following a decline in 2015 (-2.5%).  </w:t>
      </w:r>
    </w:p>
    <w:p w14:paraId="2CBB8C36" w14:textId="77777777" w:rsidR="00EB6EA7" w:rsidRDefault="00EB6EA7" w:rsidP="00EB6EA7">
      <w:pPr>
        <w:pStyle w:val="DKMBody"/>
        <w:rPr>
          <w:sz w:val="20"/>
          <w:szCs w:val="20"/>
        </w:rPr>
      </w:pPr>
    </w:p>
    <w:p w14:paraId="5E6AC333" w14:textId="22CA50F1" w:rsidR="00262638" w:rsidRDefault="00CF50AC" w:rsidP="00EB6EA7">
      <w:pPr>
        <w:pStyle w:val="DKMBody"/>
        <w:rPr>
          <w:sz w:val="20"/>
          <w:szCs w:val="20"/>
        </w:rPr>
      </w:pPr>
      <w:r w:rsidRPr="00EB6EA7">
        <w:rPr>
          <w:sz w:val="20"/>
          <w:szCs w:val="20"/>
        </w:rPr>
        <w:t>Looking at other measures of construction inflation, they are less volatile compared with tender price inflation. Starting out with construction costs,</w:t>
      </w:r>
      <w:r w:rsidR="001E1CBA" w:rsidRPr="00EB6EA7">
        <w:rPr>
          <w:sz w:val="20"/>
          <w:szCs w:val="20"/>
        </w:rPr>
        <w:t xml:space="preserve"> the CSO official measures of inflation for building and construction costs, capital good, (materials and wages)</w:t>
      </w:r>
      <w:r w:rsidR="0013556E">
        <w:rPr>
          <w:sz w:val="20"/>
          <w:szCs w:val="20"/>
        </w:rPr>
        <w:t xml:space="preserve"> </w:t>
      </w:r>
      <w:r w:rsidR="001E1CBA" w:rsidRPr="00EB6EA7">
        <w:rPr>
          <w:sz w:val="20"/>
          <w:szCs w:val="20"/>
        </w:rPr>
        <w:t xml:space="preserve">and building materials </w:t>
      </w:r>
      <w:r w:rsidR="00F9508D" w:rsidRPr="00EB6EA7">
        <w:rPr>
          <w:sz w:val="20"/>
          <w:szCs w:val="20"/>
        </w:rPr>
        <w:t>separately</w:t>
      </w:r>
      <w:r w:rsidR="001E1CBA" w:rsidRPr="00EB6EA7">
        <w:rPr>
          <w:sz w:val="20"/>
          <w:szCs w:val="20"/>
        </w:rPr>
        <w:t xml:space="preserve"> have been very modest in recent years. </w:t>
      </w:r>
    </w:p>
    <w:p w14:paraId="522864E6" w14:textId="77777777" w:rsidR="008E47D7" w:rsidRDefault="008E47D7" w:rsidP="00EB6EA7">
      <w:pPr>
        <w:pStyle w:val="DKMBody"/>
        <w:rPr>
          <w:sz w:val="20"/>
          <w:szCs w:val="20"/>
        </w:rPr>
      </w:pPr>
    </w:p>
    <w:p w14:paraId="0F97E9B9" w14:textId="77777777" w:rsidR="003F606B" w:rsidRPr="00A21F50" w:rsidRDefault="003F606B" w:rsidP="00563B1B">
      <w:pPr>
        <w:pStyle w:val="DKMFigure"/>
        <w:keepNext/>
        <w:spacing w:before="120"/>
      </w:pPr>
      <w:bookmarkStart w:id="13" w:name="_Toc478116711"/>
      <w:r>
        <w:t>Building and Construction Inflation 2006-2016</w:t>
      </w:r>
      <w:bookmarkEnd w:id="13"/>
    </w:p>
    <w:p w14:paraId="51EE06F8" w14:textId="77777777" w:rsidR="003F606B" w:rsidRPr="0013556E" w:rsidRDefault="003F606B" w:rsidP="003F606B">
      <w:pPr>
        <w:pStyle w:val="DKMBody"/>
        <w:keepNext/>
        <w:spacing w:line="240" w:lineRule="auto"/>
        <w:rPr>
          <w:i/>
          <w:sz w:val="20"/>
          <w:szCs w:val="20"/>
        </w:rPr>
      </w:pPr>
      <w:r w:rsidRPr="0013556E">
        <w:rPr>
          <w:i/>
          <w:sz w:val="20"/>
          <w:szCs w:val="20"/>
        </w:rPr>
        <w:t>Annual percentage changes</w:t>
      </w:r>
    </w:p>
    <w:p w14:paraId="338E2ABE" w14:textId="77777777" w:rsidR="003F606B" w:rsidRDefault="003F606B" w:rsidP="003F606B">
      <w:pPr>
        <w:pStyle w:val="DKMBody"/>
        <w:rPr>
          <w:sz w:val="20"/>
          <w:szCs w:val="20"/>
        </w:rPr>
      </w:pPr>
      <w:r w:rsidRPr="00B914F4">
        <w:rPr>
          <w:noProof/>
        </w:rPr>
        <w:drawing>
          <wp:inline distT="0" distB="0" distL="0" distR="0" wp14:anchorId="6C0B0623" wp14:editId="0175BD00">
            <wp:extent cx="4679315" cy="2608028"/>
            <wp:effectExtent l="0" t="0" r="698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9580" cy="2613749"/>
                    </a:xfrm>
                    <a:prstGeom prst="rect">
                      <a:avLst/>
                    </a:prstGeom>
                  </pic:spPr>
                </pic:pic>
              </a:graphicData>
            </a:graphic>
          </wp:inline>
        </w:drawing>
      </w:r>
    </w:p>
    <w:p w14:paraId="700A7BE9" w14:textId="77777777" w:rsidR="003F606B" w:rsidRPr="00A04E3C" w:rsidRDefault="003F606B" w:rsidP="003F606B">
      <w:pPr>
        <w:pStyle w:val="DKMBody"/>
        <w:spacing w:line="240" w:lineRule="auto"/>
        <w:rPr>
          <w:sz w:val="18"/>
          <w:szCs w:val="18"/>
        </w:rPr>
      </w:pPr>
      <w:r w:rsidRPr="00A04E3C">
        <w:rPr>
          <w:sz w:val="18"/>
          <w:szCs w:val="18"/>
        </w:rPr>
        <w:t>Source: CSO, SCSI</w:t>
      </w:r>
      <w:r>
        <w:rPr>
          <w:sz w:val="18"/>
          <w:szCs w:val="18"/>
        </w:rPr>
        <w:t>.</w:t>
      </w:r>
    </w:p>
    <w:p w14:paraId="5D407F05" w14:textId="77777777" w:rsidR="003F606B" w:rsidRDefault="003F606B" w:rsidP="003F606B">
      <w:pPr>
        <w:pStyle w:val="DKMBody"/>
        <w:rPr>
          <w:sz w:val="20"/>
          <w:szCs w:val="20"/>
        </w:rPr>
      </w:pPr>
    </w:p>
    <w:p w14:paraId="29AA24DE" w14:textId="08634A65" w:rsidR="00EB6EA7" w:rsidRDefault="00F9508D" w:rsidP="00C85FF1">
      <w:pPr>
        <w:pStyle w:val="DKMBody"/>
        <w:spacing w:line="260" w:lineRule="atLeast"/>
        <w:rPr>
          <w:sz w:val="20"/>
          <w:szCs w:val="20"/>
        </w:rPr>
      </w:pPr>
      <w:r w:rsidRPr="00EB6EA7">
        <w:rPr>
          <w:sz w:val="20"/>
          <w:szCs w:val="20"/>
        </w:rPr>
        <w:t xml:space="preserve">Notwithstanding the above trends, much attention </w:t>
      </w:r>
      <w:r w:rsidR="00C33D87">
        <w:rPr>
          <w:sz w:val="20"/>
          <w:szCs w:val="20"/>
        </w:rPr>
        <w:t>is being</w:t>
      </w:r>
      <w:r w:rsidRPr="00EB6EA7">
        <w:rPr>
          <w:sz w:val="20"/>
          <w:szCs w:val="20"/>
        </w:rPr>
        <w:t xml:space="preserve"> paid to the development viability of residential construction</w:t>
      </w:r>
      <w:r w:rsidR="00C33D87">
        <w:rPr>
          <w:sz w:val="20"/>
          <w:szCs w:val="20"/>
        </w:rPr>
        <w:t>.</w:t>
      </w:r>
      <w:r w:rsidRPr="00EB6EA7">
        <w:rPr>
          <w:sz w:val="20"/>
          <w:szCs w:val="20"/>
        </w:rPr>
        <w:t xml:space="preserve"> This led to research by the SCSI in 2016 which reported that the actual construction costs made up less than half (45%) of the total costs of building a three-bedroom semi-detached house in the Greater Dublin Area</w:t>
      </w:r>
      <w:r w:rsidR="00EB6EA7">
        <w:rPr>
          <w:rStyle w:val="FootnoteReference"/>
          <w:sz w:val="20"/>
          <w:szCs w:val="20"/>
        </w:rPr>
        <w:footnoteReference w:id="18"/>
      </w:r>
      <w:r w:rsidRPr="00EB6EA7">
        <w:rPr>
          <w:sz w:val="20"/>
          <w:szCs w:val="20"/>
        </w:rPr>
        <w:t xml:space="preserve">. The other 55 per cent of the total cost of €330,000 consisted of non-construction factors, such as the cost of acquisition </w:t>
      </w:r>
      <w:r w:rsidR="00EB6EA7" w:rsidRPr="00EB6EA7">
        <w:rPr>
          <w:sz w:val="20"/>
          <w:szCs w:val="20"/>
        </w:rPr>
        <w:t>and</w:t>
      </w:r>
      <w:r w:rsidRPr="00EB6EA7">
        <w:rPr>
          <w:sz w:val="20"/>
          <w:szCs w:val="20"/>
        </w:rPr>
        <w:t xml:space="preserve"> development finance, design, sales </w:t>
      </w:r>
      <w:r w:rsidR="00EB6EA7" w:rsidRPr="00EB6EA7">
        <w:rPr>
          <w:sz w:val="20"/>
          <w:szCs w:val="20"/>
        </w:rPr>
        <w:t>and</w:t>
      </w:r>
      <w:r w:rsidRPr="00EB6EA7">
        <w:rPr>
          <w:sz w:val="20"/>
          <w:szCs w:val="20"/>
        </w:rPr>
        <w:t xml:space="preserve"> marketing, margin (including profit) and taxation elements such as levies and V</w:t>
      </w:r>
      <w:r w:rsidR="00EB6EA7" w:rsidRPr="00EB6EA7">
        <w:rPr>
          <w:sz w:val="20"/>
          <w:szCs w:val="20"/>
        </w:rPr>
        <w:t>AT.</w:t>
      </w:r>
      <w:r w:rsidR="00EB6EA7">
        <w:rPr>
          <w:sz w:val="20"/>
          <w:szCs w:val="20"/>
        </w:rPr>
        <w:t xml:space="preserve"> </w:t>
      </w:r>
      <w:r w:rsidR="00C859E7">
        <w:rPr>
          <w:sz w:val="20"/>
          <w:szCs w:val="20"/>
        </w:rPr>
        <w:t xml:space="preserve">By incorporating all costs, the market price of the </w:t>
      </w:r>
      <w:r w:rsidR="00C859E7" w:rsidRPr="00EB6EA7">
        <w:rPr>
          <w:sz w:val="20"/>
          <w:szCs w:val="20"/>
        </w:rPr>
        <w:t>three-bedroom semi-detached house</w:t>
      </w:r>
      <w:r w:rsidR="00C859E7">
        <w:rPr>
          <w:sz w:val="20"/>
          <w:szCs w:val="20"/>
        </w:rPr>
        <w:t xml:space="preserve"> was higher than what a first-time buyer on twice average earnings could afford to borrow under the Central Bank’s macro-prudential rules.  </w:t>
      </w:r>
    </w:p>
    <w:p w14:paraId="2429DC65" w14:textId="77777777" w:rsidR="00C859E7" w:rsidRPr="009B2E97" w:rsidRDefault="00C859E7" w:rsidP="00C85FF1">
      <w:pPr>
        <w:pStyle w:val="DKMBody"/>
        <w:spacing w:line="260" w:lineRule="atLeast"/>
        <w:rPr>
          <w:sz w:val="20"/>
          <w:szCs w:val="20"/>
        </w:rPr>
      </w:pPr>
    </w:p>
    <w:p w14:paraId="1A00B300" w14:textId="09F913EA" w:rsidR="00C859E7" w:rsidRPr="00C85FF1" w:rsidRDefault="00C859E7" w:rsidP="00C85FF1">
      <w:pPr>
        <w:pStyle w:val="DKMBody"/>
        <w:spacing w:line="260" w:lineRule="atLeast"/>
        <w:rPr>
          <w:sz w:val="20"/>
          <w:szCs w:val="20"/>
        </w:rPr>
      </w:pPr>
      <w:r w:rsidRPr="009B2E97">
        <w:rPr>
          <w:sz w:val="20"/>
          <w:szCs w:val="20"/>
        </w:rPr>
        <w:t xml:space="preserve">In the last twelve months the average annual rate of house price inflation has increased from 4.6 per cent in December 2015 to </w:t>
      </w:r>
      <w:r w:rsidR="0003381C">
        <w:rPr>
          <w:sz w:val="20"/>
          <w:szCs w:val="20"/>
        </w:rPr>
        <w:t>7.9</w:t>
      </w:r>
      <w:r w:rsidRPr="009B2E97">
        <w:rPr>
          <w:sz w:val="20"/>
          <w:szCs w:val="20"/>
        </w:rPr>
        <w:t xml:space="preserve"> per cent in </w:t>
      </w:r>
      <w:r w:rsidRPr="00C85FF1">
        <w:rPr>
          <w:sz w:val="20"/>
          <w:szCs w:val="20"/>
        </w:rPr>
        <w:t>December 2016</w:t>
      </w:r>
      <w:r w:rsidR="006C40C6" w:rsidRPr="00C85FF1">
        <w:rPr>
          <w:sz w:val="20"/>
          <w:szCs w:val="20"/>
        </w:rPr>
        <w:t xml:space="preserve"> and remained at that level in January 2017</w:t>
      </w:r>
      <w:r w:rsidRPr="00C85FF1">
        <w:rPr>
          <w:sz w:val="20"/>
          <w:szCs w:val="20"/>
        </w:rPr>
        <w:t>. The corresponding movement in Dublin over the year was from 3.9 per cent to 5</w:t>
      </w:r>
      <w:r w:rsidR="006C40C6" w:rsidRPr="00C85FF1">
        <w:rPr>
          <w:sz w:val="20"/>
          <w:szCs w:val="20"/>
        </w:rPr>
        <w:t>.8</w:t>
      </w:r>
      <w:r w:rsidRPr="00C85FF1">
        <w:rPr>
          <w:sz w:val="20"/>
          <w:szCs w:val="20"/>
        </w:rPr>
        <w:t xml:space="preserve"> per cent</w:t>
      </w:r>
      <w:r w:rsidR="006C40C6" w:rsidRPr="00C85FF1">
        <w:rPr>
          <w:sz w:val="20"/>
          <w:szCs w:val="20"/>
        </w:rPr>
        <w:t>, while the rate of price growth moderated to 5.3 per cent in January 2017.</w:t>
      </w:r>
      <w:r w:rsidRPr="00C85FF1">
        <w:rPr>
          <w:sz w:val="20"/>
          <w:szCs w:val="20"/>
        </w:rPr>
        <w:t xml:space="preserve"> </w:t>
      </w:r>
      <w:r w:rsidR="009B2E97" w:rsidRPr="00C85FF1">
        <w:rPr>
          <w:sz w:val="20"/>
          <w:szCs w:val="20"/>
        </w:rPr>
        <w:t xml:space="preserve">Similarly housing rents have risen strongly and are now ahead of where they were </w:t>
      </w:r>
      <w:r w:rsidR="00C33D87" w:rsidRPr="00C85FF1">
        <w:rPr>
          <w:sz w:val="20"/>
          <w:szCs w:val="20"/>
        </w:rPr>
        <w:t xml:space="preserve">at the peak of </w:t>
      </w:r>
      <w:r w:rsidR="009B2E97" w:rsidRPr="00C85FF1">
        <w:rPr>
          <w:sz w:val="20"/>
          <w:szCs w:val="20"/>
        </w:rPr>
        <w:t>the last housing boom.</w:t>
      </w:r>
    </w:p>
    <w:p w14:paraId="296F0911" w14:textId="77777777" w:rsidR="009B2E97" w:rsidRPr="009B2E97" w:rsidRDefault="009B2E97" w:rsidP="00C85FF1">
      <w:pPr>
        <w:pStyle w:val="DKMBody"/>
        <w:spacing w:line="260" w:lineRule="atLeast"/>
        <w:rPr>
          <w:sz w:val="20"/>
          <w:szCs w:val="20"/>
        </w:rPr>
      </w:pPr>
    </w:p>
    <w:p w14:paraId="23BB9EA7" w14:textId="6429A895" w:rsidR="009B2E97" w:rsidRPr="009B2E97" w:rsidRDefault="009B2E97" w:rsidP="00C85FF1">
      <w:pPr>
        <w:pStyle w:val="DKMBody"/>
        <w:spacing w:line="260" w:lineRule="atLeast"/>
        <w:rPr>
          <w:sz w:val="20"/>
          <w:szCs w:val="20"/>
        </w:rPr>
      </w:pPr>
      <w:r>
        <w:rPr>
          <w:sz w:val="20"/>
          <w:szCs w:val="20"/>
        </w:rPr>
        <w:t>While recognising that the key issue is the lack of housing supply, there is a need to understand</w:t>
      </w:r>
      <w:r w:rsidR="006949C7">
        <w:rPr>
          <w:sz w:val="20"/>
          <w:szCs w:val="20"/>
        </w:rPr>
        <w:t xml:space="preserve"> why </w:t>
      </w:r>
      <w:r w:rsidR="00C33D87">
        <w:rPr>
          <w:sz w:val="20"/>
          <w:szCs w:val="20"/>
        </w:rPr>
        <w:t xml:space="preserve">housing </w:t>
      </w:r>
      <w:r w:rsidR="006949C7">
        <w:rPr>
          <w:sz w:val="20"/>
          <w:szCs w:val="20"/>
        </w:rPr>
        <w:t xml:space="preserve">costs are rising and how the individual cost components compare with our competitors. </w:t>
      </w:r>
      <w:r w:rsidRPr="009B2E97">
        <w:rPr>
          <w:sz w:val="20"/>
          <w:szCs w:val="20"/>
        </w:rPr>
        <w:t>In 2015 the National Competitiveness Council recommended that a rigorous benchmarking exercise should be undertaken “</w:t>
      </w:r>
      <w:r w:rsidRPr="006949C7">
        <w:rPr>
          <w:i/>
          <w:sz w:val="20"/>
          <w:szCs w:val="20"/>
        </w:rPr>
        <w:t>to determine whether Irish residential construction costs are out of line with those of our key competitors.</w:t>
      </w:r>
      <w:r w:rsidR="006949C7">
        <w:rPr>
          <w:i/>
          <w:sz w:val="20"/>
          <w:szCs w:val="20"/>
        </w:rPr>
        <w:t>”</w:t>
      </w:r>
      <w:r w:rsidRPr="006949C7">
        <w:rPr>
          <w:i/>
          <w:sz w:val="20"/>
          <w:szCs w:val="20"/>
        </w:rPr>
        <w:t xml:space="preserve"> </w:t>
      </w:r>
      <w:r w:rsidR="006949C7" w:rsidRPr="006949C7">
        <w:rPr>
          <w:sz w:val="20"/>
          <w:szCs w:val="20"/>
        </w:rPr>
        <w:t>It was recommended that such an exercise</w:t>
      </w:r>
      <w:r w:rsidR="006949C7">
        <w:rPr>
          <w:i/>
          <w:sz w:val="20"/>
          <w:szCs w:val="20"/>
        </w:rPr>
        <w:t xml:space="preserve"> “</w:t>
      </w:r>
      <w:r w:rsidRPr="006949C7">
        <w:rPr>
          <w:i/>
          <w:sz w:val="20"/>
          <w:szCs w:val="20"/>
        </w:rPr>
        <w:t>should include an assessment of the input costs, time, and procedures</w:t>
      </w:r>
      <w:r w:rsidRPr="009B2E97">
        <w:rPr>
          <w:sz w:val="20"/>
          <w:szCs w:val="20"/>
        </w:rPr>
        <w:t xml:space="preserve"> </w:t>
      </w:r>
      <w:r w:rsidRPr="006949C7">
        <w:rPr>
          <w:i/>
          <w:sz w:val="20"/>
          <w:szCs w:val="20"/>
        </w:rPr>
        <w:t>required to complete a number of different types of residential development</w:t>
      </w:r>
      <w:r w:rsidRPr="009B2E97">
        <w:rPr>
          <w:sz w:val="20"/>
          <w:szCs w:val="20"/>
        </w:rPr>
        <w:t>.”</w:t>
      </w:r>
      <w:r w:rsidRPr="009B2E97">
        <w:rPr>
          <w:rStyle w:val="FootnoteReference"/>
          <w:sz w:val="20"/>
          <w:szCs w:val="20"/>
        </w:rPr>
        <w:t xml:space="preserve"> </w:t>
      </w:r>
      <w:r w:rsidRPr="009B2E97">
        <w:rPr>
          <w:rStyle w:val="FootnoteReference"/>
          <w:sz w:val="20"/>
          <w:szCs w:val="20"/>
        </w:rPr>
        <w:footnoteReference w:id="19"/>
      </w:r>
      <w:r w:rsidR="006949C7">
        <w:rPr>
          <w:sz w:val="20"/>
          <w:szCs w:val="20"/>
        </w:rPr>
        <w:t xml:space="preserve"> This should also include a review of the impact on costs of the range of </w:t>
      </w:r>
      <w:r w:rsidR="00C33D87">
        <w:rPr>
          <w:sz w:val="20"/>
          <w:szCs w:val="20"/>
        </w:rPr>
        <w:t xml:space="preserve">building and other </w:t>
      </w:r>
      <w:r w:rsidR="006949C7">
        <w:rPr>
          <w:sz w:val="20"/>
          <w:szCs w:val="20"/>
        </w:rPr>
        <w:t>regulations introduced</w:t>
      </w:r>
      <w:r w:rsidR="00C33D87">
        <w:rPr>
          <w:sz w:val="20"/>
          <w:szCs w:val="20"/>
        </w:rPr>
        <w:t xml:space="preserve"> since the financial crisis. </w:t>
      </w:r>
      <w:r w:rsidR="006949C7">
        <w:rPr>
          <w:sz w:val="20"/>
          <w:szCs w:val="20"/>
        </w:rPr>
        <w:t xml:space="preserve">  </w:t>
      </w:r>
    </w:p>
    <w:p w14:paraId="6DC2C08A" w14:textId="3713BA49" w:rsidR="00262638" w:rsidRPr="00C47170" w:rsidRDefault="00FD03B0" w:rsidP="00FD03B0">
      <w:pPr>
        <w:pStyle w:val="DKM2"/>
        <w:rPr>
          <w:sz w:val="22"/>
          <w:szCs w:val="22"/>
        </w:rPr>
      </w:pPr>
      <w:bookmarkStart w:id="14" w:name="_Toc478116685"/>
      <w:r w:rsidRPr="00C47170">
        <w:rPr>
          <w:sz w:val="22"/>
          <w:szCs w:val="22"/>
        </w:rPr>
        <w:t>Recommendations</w:t>
      </w:r>
      <w:bookmarkEnd w:id="14"/>
    </w:p>
    <w:p w14:paraId="18EE86A8" w14:textId="77777777" w:rsidR="007E0916" w:rsidRPr="006C40C6" w:rsidRDefault="007E0916" w:rsidP="008E47D7">
      <w:pPr>
        <w:pStyle w:val="DKMBody"/>
        <w:numPr>
          <w:ilvl w:val="0"/>
          <w:numId w:val="36"/>
        </w:numPr>
        <w:ind w:left="284" w:hanging="284"/>
        <w:rPr>
          <w:sz w:val="20"/>
          <w:szCs w:val="20"/>
        </w:rPr>
      </w:pPr>
      <w:r w:rsidRPr="006C40C6">
        <w:rPr>
          <w:sz w:val="20"/>
          <w:szCs w:val="20"/>
        </w:rPr>
        <w:t>Apprenticeship training that is structured on a regional basis, in light of the demands of the relevant area, would produce tradespeople who could remain in their communities and regions and reduce the incentive to relocate to major cities. The result should be better qualified tradespeople living across a broader geographic spread, which should secure the sustainability of the construction skills base in the long-term. This will be important in the context of the forthcoming National Planning Framework which is expected to have more balanced regional development as one of its key objectives.</w:t>
      </w:r>
    </w:p>
    <w:p w14:paraId="11B09ED8" w14:textId="77777777" w:rsidR="007E0916" w:rsidRPr="006C40C6" w:rsidRDefault="007E0916" w:rsidP="008E47D7">
      <w:pPr>
        <w:pStyle w:val="DKMBody"/>
        <w:ind w:left="284" w:hanging="284"/>
        <w:rPr>
          <w:sz w:val="20"/>
          <w:szCs w:val="20"/>
        </w:rPr>
      </w:pPr>
    </w:p>
    <w:p w14:paraId="3FCA86B5" w14:textId="77777777" w:rsidR="007E0916" w:rsidRPr="006C40C6" w:rsidRDefault="007E0916" w:rsidP="008E47D7">
      <w:pPr>
        <w:pStyle w:val="DKMBody"/>
        <w:numPr>
          <w:ilvl w:val="0"/>
          <w:numId w:val="36"/>
        </w:numPr>
        <w:ind w:left="284" w:hanging="284"/>
        <w:rPr>
          <w:sz w:val="20"/>
          <w:szCs w:val="20"/>
        </w:rPr>
      </w:pPr>
      <w:r w:rsidRPr="006C40C6">
        <w:rPr>
          <w:sz w:val="20"/>
          <w:szCs w:val="20"/>
        </w:rPr>
        <w:t xml:space="preserve">The recommendations of the CIF’s Construction Skills report regarding the enhancement of the skill’s capacity of the industry should be implemented and Government should ensure that adequate funding is in place for Solas and the Education and Training Board network to deliver the requisite numbers of highly skilled apprentices to serve the industry over the long-term.  Thereafter a strong pipeline of projects will be required to ensure that those trained remain in the Irish construction sector and are not drawn towards the UK where a significant skills gap is projected in the medium-term.   </w:t>
      </w:r>
    </w:p>
    <w:p w14:paraId="579E971C" w14:textId="77777777" w:rsidR="007E0916" w:rsidRPr="006C40C6" w:rsidRDefault="007E0916" w:rsidP="008E47D7">
      <w:pPr>
        <w:pStyle w:val="DKMBody"/>
        <w:ind w:left="284" w:hanging="284"/>
        <w:rPr>
          <w:sz w:val="20"/>
          <w:szCs w:val="20"/>
        </w:rPr>
      </w:pPr>
    </w:p>
    <w:p w14:paraId="0BEF509C" w14:textId="1990EEB6" w:rsidR="00FD03B0" w:rsidRDefault="007E0916" w:rsidP="008E47D7">
      <w:pPr>
        <w:pStyle w:val="DKMBody"/>
        <w:numPr>
          <w:ilvl w:val="0"/>
          <w:numId w:val="36"/>
        </w:numPr>
        <w:ind w:left="284" w:hanging="284"/>
      </w:pPr>
      <w:r w:rsidRPr="006C40C6">
        <w:rPr>
          <w:sz w:val="20"/>
          <w:szCs w:val="20"/>
        </w:rPr>
        <w:t>In line with a 2015 recommendation of the National Competitiveness Council, which was never acted upon, it is recommended that the Housebuilding Cost Working Group</w:t>
      </w:r>
      <w:r w:rsidR="006C40C6">
        <w:rPr>
          <w:sz w:val="20"/>
          <w:szCs w:val="20"/>
        </w:rPr>
        <w:t xml:space="preserve">, </w:t>
      </w:r>
      <w:r w:rsidR="006C40C6" w:rsidRPr="00C85FF1">
        <w:rPr>
          <w:sz w:val="20"/>
          <w:szCs w:val="20"/>
        </w:rPr>
        <w:t>which is currently reviewing Irish housebuilding costs,</w:t>
      </w:r>
      <w:r w:rsidRPr="00C85FF1">
        <w:rPr>
          <w:sz w:val="20"/>
          <w:szCs w:val="20"/>
        </w:rPr>
        <w:t xml:space="preserve"> </w:t>
      </w:r>
      <w:r w:rsidR="006C40C6" w:rsidRPr="00C85FF1">
        <w:rPr>
          <w:sz w:val="20"/>
          <w:szCs w:val="20"/>
        </w:rPr>
        <w:t>should also</w:t>
      </w:r>
      <w:r w:rsidRPr="00C85FF1">
        <w:rPr>
          <w:sz w:val="20"/>
          <w:szCs w:val="20"/>
        </w:rPr>
        <w:t xml:space="preserve"> undertake a rigorous </w:t>
      </w:r>
      <w:r w:rsidRPr="006C40C6">
        <w:rPr>
          <w:sz w:val="20"/>
          <w:szCs w:val="20"/>
        </w:rPr>
        <w:t xml:space="preserve">benchmarking exercise to determine whether Irish residential construction (building and non-building) costs are out of line with those of our key competitors. </w:t>
      </w:r>
      <w:r w:rsidR="00FD03B0">
        <w:br w:type="page"/>
      </w:r>
    </w:p>
    <w:p w14:paraId="44D68354" w14:textId="785DC97F" w:rsidR="00804271" w:rsidRPr="008766F7" w:rsidRDefault="00804271" w:rsidP="00804271">
      <w:pPr>
        <w:pStyle w:val="DKM1"/>
        <w:spacing w:line="276" w:lineRule="auto"/>
        <w:rPr>
          <w:rFonts w:asciiTheme="minorHAnsi" w:hAnsiTheme="minorHAnsi"/>
          <w:sz w:val="24"/>
          <w:szCs w:val="24"/>
        </w:rPr>
      </w:pPr>
      <w:bookmarkStart w:id="15" w:name="_Toc478116686"/>
      <w:r w:rsidRPr="008766F7">
        <w:rPr>
          <w:rFonts w:asciiTheme="minorHAnsi" w:hAnsiTheme="minorHAnsi"/>
          <w:sz w:val="24"/>
          <w:szCs w:val="24"/>
        </w:rPr>
        <w:t>Key Bottlenecks and Rational</w:t>
      </w:r>
      <w:r w:rsidR="00FD03B0" w:rsidRPr="008766F7">
        <w:rPr>
          <w:rFonts w:asciiTheme="minorHAnsi" w:hAnsiTheme="minorHAnsi"/>
          <w:sz w:val="24"/>
          <w:szCs w:val="24"/>
        </w:rPr>
        <w:t>E</w:t>
      </w:r>
      <w:r w:rsidRPr="008766F7">
        <w:rPr>
          <w:rFonts w:asciiTheme="minorHAnsi" w:hAnsiTheme="minorHAnsi"/>
          <w:sz w:val="24"/>
          <w:szCs w:val="24"/>
        </w:rPr>
        <w:t xml:space="preserve"> for Public Investment</w:t>
      </w:r>
      <w:bookmarkEnd w:id="15"/>
    </w:p>
    <w:p w14:paraId="2A53B893" w14:textId="77777777" w:rsidR="00804271" w:rsidRPr="008766F7" w:rsidRDefault="00804271" w:rsidP="00FD03B0">
      <w:pPr>
        <w:pStyle w:val="DKM2"/>
        <w:rPr>
          <w:sz w:val="22"/>
          <w:szCs w:val="22"/>
        </w:rPr>
      </w:pPr>
      <w:bookmarkStart w:id="16" w:name="_Toc478116687"/>
      <w:r w:rsidRPr="008766F7">
        <w:rPr>
          <w:sz w:val="22"/>
          <w:szCs w:val="22"/>
        </w:rPr>
        <w:t>Does Ireland have an Infrastructure Deficit?</w:t>
      </w:r>
      <w:bookmarkEnd w:id="16"/>
    </w:p>
    <w:p w14:paraId="15087F32" w14:textId="4E81E33A" w:rsidR="00CA6467" w:rsidRDefault="00CA6467" w:rsidP="00AB215D">
      <w:pPr>
        <w:autoSpaceDE w:val="0"/>
        <w:autoSpaceDN w:val="0"/>
        <w:adjustRightInd w:val="0"/>
        <w:rPr>
          <w:rFonts w:cs="HelveticaNeue-Light"/>
          <w:sz w:val="20"/>
          <w:szCs w:val="20"/>
        </w:rPr>
      </w:pPr>
      <w:r>
        <w:rPr>
          <w:rFonts w:cs="HelveticaNeue-Light"/>
          <w:sz w:val="20"/>
          <w:szCs w:val="20"/>
        </w:rPr>
        <w:t>Ireland’s infrastructure needs were comprehensively addressed by the European Commission in their 2016 Country Report for Ireland</w:t>
      </w:r>
      <w:r>
        <w:rPr>
          <w:rStyle w:val="FootnoteReference"/>
          <w:rFonts w:cs="HelveticaNeue-Light"/>
          <w:sz w:val="20"/>
          <w:szCs w:val="20"/>
        </w:rPr>
        <w:footnoteReference w:id="20"/>
      </w:r>
      <w:r>
        <w:rPr>
          <w:rFonts w:cs="HelveticaNeue-Light"/>
          <w:sz w:val="20"/>
          <w:szCs w:val="20"/>
        </w:rPr>
        <w:t>.</w:t>
      </w:r>
      <w:r w:rsidR="008351C5">
        <w:rPr>
          <w:rFonts w:cs="HelveticaNeue-Light"/>
          <w:sz w:val="20"/>
          <w:szCs w:val="20"/>
        </w:rPr>
        <w:t xml:space="preserve"> The Commission acknowledged the resumption of strong economic recovery since 2014</w:t>
      </w:r>
      <w:r w:rsidR="00934237">
        <w:rPr>
          <w:rFonts w:cs="HelveticaNeue-Light"/>
          <w:sz w:val="20"/>
          <w:szCs w:val="20"/>
        </w:rPr>
        <w:t xml:space="preserve"> and the need for Ireland to remain competitive globally.</w:t>
      </w:r>
      <w:r w:rsidR="008351C5">
        <w:rPr>
          <w:rFonts w:cs="HelveticaNeue-Light"/>
          <w:sz w:val="20"/>
          <w:szCs w:val="20"/>
        </w:rPr>
        <w:t xml:space="preserve"> </w:t>
      </w:r>
      <w:r w:rsidR="00BF1082">
        <w:rPr>
          <w:rFonts w:cs="HelveticaNeue-Light"/>
          <w:sz w:val="20"/>
          <w:szCs w:val="20"/>
        </w:rPr>
        <w:t>It also</w:t>
      </w:r>
      <w:r w:rsidR="00934237">
        <w:rPr>
          <w:rFonts w:cs="HelveticaNeue-Light"/>
          <w:sz w:val="20"/>
          <w:szCs w:val="20"/>
        </w:rPr>
        <w:t xml:space="preserve"> noted the sharp reductions during the financial crisis in transport and housing investment and to a lesser extent in the health and education sectors, which “</w:t>
      </w:r>
      <w:r w:rsidR="00934237" w:rsidRPr="00934237">
        <w:rPr>
          <w:rFonts w:cs="HelveticaNeue-Light"/>
          <w:i/>
          <w:sz w:val="20"/>
          <w:szCs w:val="20"/>
        </w:rPr>
        <w:t>have taken a toll on the quality and adequacy of infrastructure</w:t>
      </w:r>
      <w:r w:rsidR="00934237">
        <w:rPr>
          <w:rFonts w:cs="HelveticaNeue-Light"/>
          <w:sz w:val="20"/>
          <w:szCs w:val="20"/>
        </w:rPr>
        <w:t>” and have led to “</w:t>
      </w:r>
      <w:r w:rsidR="00934237" w:rsidRPr="00934237">
        <w:rPr>
          <w:rFonts w:cs="HelveticaNeue-Light"/>
          <w:i/>
          <w:sz w:val="20"/>
          <w:szCs w:val="20"/>
        </w:rPr>
        <w:t>pressure points”</w:t>
      </w:r>
      <w:r w:rsidR="00934237">
        <w:rPr>
          <w:rFonts w:cs="HelveticaNeue-Light"/>
          <w:sz w:val="20"/>
          <w:szCs w:val="20"/>
        </w:rPr>
        <w:t xml:space="preserve"> in a number of areas, notably housing, water services and public transport.</w:t>
      </w:r>
    </w:p>
    <w:p w14:paraId="4E5B7895" w14:textId="77777777" w:rsidR="00621AE4" w:rsidRDefault="00621AE4" w:rsidP="00AB215D">
      <w:pPr>
        <w:autoSpaceDE w:val="0"/>
        <w:autoSpaceDN w:val="0"/>
        <w:adjustRightInd w:val="0"/>
        <w:rPr>
          <w:rFonts w:cs="HelveticaNeue-Light"/>
          <w:sz w:val="20"/>
          <w:szCs w:val="20"/>
        </w:rPr>
      </w:pPr>
    </w:p>
    <w:p w14:paraId="3C852316" w14:textId="3FD83B81" w:rsidR="004057AA" w:rsidRDefault="00621AE4" w:rsidP="004057AA">
      <w:pPr>
        <w:autoSpaceDE w:val="0"/>
        <w:autoSpaceDN w:val="0"/>
        <w:adjustRightInd w:val="0"/>
        <w:rPr>
          <w:rFonts w:cs="Times New Roman"/>
          <w:color w:val="000000"/>
          <w:sz w:val="20"/>
          <w:szCs w:val="20"/>
        </w:rPr>
      </w:pPr>
      <w:r w:rsidRPr="00621AE4">
        <w:rPr>
          <w:rFonts w:cs="HelveticaNeue-Light"/>
          <w:sz w:val="20"/>
          <w:szCs w:val="20"/>
        </w:rPr>
        <w:t>The European Commission continue to draw attention to the investment challenges in their 2017 Country Report on Ireland</w:t>
      </w:r>
      <w:r>
        <w:rPr>
          <w:rStyle w:val="FootnoteReference"/>
          <w:rFonts w:cs="HelveticaNeue-Light"/>
          <w:sz w:val="20"/>
          <w:szCs w:val="20"/>
        </w:rPr>
        <w:footnoteReference w:id="21"/>
      </w:r>
      <w:r w:rsidRPr="00621AE4">
        <w:rPr>
          <w:rFonts w:cs="HelveticaNeue-Light"/>
          <w:sz w:val="20"/>
          <w:szCs w:val="20"/>
        </w:rPr>
        <w:t xml:space="preserve"> in which they acknowledge that I</w:t>
      </w:r>
      <w:r w:rsidRPr="00621AE4">
        <w:rPr>
          <w:rFonts w:cs="Times New Roman"/>
          <w:color w:val="000000"/>
          <w:sz w:val="20"/>
          <w:szCs w:val="20"/>
        </w:rPr>
        <w:t>reland remains a very competitive destination for foreign direct investment and that</w:t>
      </w:r>
      <w:r w:rsidR="004057AA">
        <w:rPr>
          <w:rFonts w:cs="Times New Roman"/>
          <w:color w:val="000000"/>
          <w:sz w:val="20"/>
          <w:szCs w:val="20"/>
        </w:rPr>
        <w:t xml:space="preserve">: </w:t>
      </w:r>
      <w:r>
        <w:rPr>
          <w:rFonts w:cs="Times New Roman"/>
          <w:color w:val="000000"/>
          <w:sz w:val="20"/>
          <w:szCs w:val="20"/>
        </w:rPr>
        <w:t>“</w:t>
      </w:r>
      <w:r w:rsidRPr="00621AE4">
        <w:rPr>
          <w:rFonts w:cs="Times New Roman"/>
          <w:i/>
          <w:color w:val="000000"/>
          <w:sz w:val="20"/>
          <w:szCs w:val="20"/>
        </w:rPr>
        <w:t>Large multinationals are interested in basing a bigger share of their activities in the country but this can be difficult due to infrastructure and housing shortages — which also constrain the expansion of indigenous companies</w:t>
      </w:r>
      <w:r w:rsidRPr="00621AE4">
        <w:rPr>
          <w:rFonts w:cs="Times New Roman"/>
          <w:color w:val="000000"/>
          <w:sz w:val="20"/>
          <w:szCs w:val="20"/>
        </w:rPr>
        <w:t>.</w:t>
      </w:r>
      <w:r>
        <w:rPr>
          <w:rFonts w:cs="Times New Roman"/>
          <w:color w:val="000000"/>
          <w:sz w:val="20"/>
          <w:szCs w:val="20"/>
        </w:rPr>
        <w:t>”</w:t>
      </w:r>
      <w:r w:rsidRPr="00621AE4">
        <w:rPr>
          <w:rFonts w:cs="Times New Roman"/>
          <w:color w:val="000000"/>
          <w:sz w:val="20"/>
          <w:szCs w:val="20"/>
        </w:rPr>
        <w:t xml:space="preserve"> </w:t>
      </w:r>
    </w:p>
    <w:p w14:paraId="3F38A7F6" w14:textId="77777777" w:rsidR="004057AA" w:rsidRDefault="004057AA" w:rsidP="004057AA">
      <w:pPr>
        <w:autoSpaceDE w:val="0"/>
        <w:autoSpaceDN w:val="0"/>
        <w:adjustRightInd w:val="0"/>
        <w:rPr>
          <w:rFonts w:cs="Times New Roman"/>
          <w:color w:val="000000"/>
          <w:sz w:val="20"/>
          <w:szCs w:val="20"/>
        </w:rPr>
      </w:pPr>
    </w:p>
    <w:p w14:paraId="1151A285" w14:textId="52D5F7CB" w:rsidR="00681AD3" w:rsidRPr="00681AD3" w:rsidRDefault="00621AE4" w:rsidP="004057AA">
      <w:pPr>
        <w:autoSpaceDE w:val="0"/>
        <w:autoSpaceDN w:val="0"/>
        <w:adjustRightInd w:val="0"/>
        <w:rPr>
          <w:rFonts w:ascii="Calibri" w:hAnsi="Calibri" w:cs="Calibri"/>
          <w:i/>
          <w:color w:val="000000"/>
          <w:sz w:val="20"/>
          <w:szCs w:val="20"/>
        </w:rPr>
      </w:pPr>
      <w:r w:rsidRPr="00621AE4">
        <w:rPr>
          <w:rFonts w:cs="Times New Roman"/>
          <w:color w:val="000000"/>
          <w:sz w:val="20"/>
          <w:szCs w:val="20"/>
        </w:rPr>
        <w:t>The</w:t>
      </w:r>
      <w:r w:rsidR="004057AA">
        <w:rPr>
          <w:rFonts w:cs="Times New Roman"/>
          <w:color w:val="000000"/>
          <w:sz w:val="20"/>
          <w:szCs w:val="20"/>
        </w:rPr>
        <w:t xml:space="preserve"> Commission </w:t>
      </w:r>
      <w:r w:rsidRPr="00621AE4">
        <w:rPr>
          <w:rFonts w:cs="Times New Roman"/>
          <w:color w:val="000000"/>
          <w:sz w:val="20"/>
          <w:szCs w:val="20"/>
        </w:rPr>
        <w:t>further note that</w:t>
      </w:r>
      <w:r w:rsidR="004057AA">
        <w:rPr>
          <w:rFonts w:cs="Times New Roman"/>
          <w:color w:val="000000"/>
          <w:sz w:val="20"/>
          <w:szCs w:val="20"/>
        </w:rPr>
        <w:t xml:space="preserve">: </w:t>
      </w:r>
      <w:r w:rsidRPr="00621AE4">
        <w:rPr>
          <w:rFonts w:cs="Times New Roman"/>
          <w:i/>
          <w:color w:val="000000"/>
          <w:sz w:val="20"/>
          <w:szCs w:val="20"/>
        </w:rPr>
        <w:t xml:space="preserve">“The barriers affecting the development of housing and infrastructure projects have become the most pressing” </w:t>
      </w:r>
      <w:r w:rsidR="00681AD3" w:rsidRPr="00681AD3">
        <w:rPr>
          <w:rFonts w:cs="Times New Roman"/>
          <w:color w:val="000000"/>
          <w:sz w:val="20"/>
          <w:szCs w:val="20"/>
        </w:rPr>
        <w:t>despite their 2016 recommendations that Ireland should</w:t>
      </w:r>
      <w:r w:rsidR="00681AD3">
        <w:rPr>
          <w:rFonts w:cs="Times New Roman"/>
          <w:i/>
          <w:color w:val="000000"/>
          <w:sz w:val="20"/>
          <w:szCs w:val="20"/>
        </w:rPr>
        <w:t xml:space="preserve"> </w:t>
      </w:r>
      <w:r w:rsidR="00681AD3">
        <w:rPr>
          <w:rFonts w:ascii="Calibri" w:hAnsi="Calibri" w:cs="Calibri"/>
          <w:i/>
          <w:color w:val="000000"/>
          <w:sz w:val="20"/>
          <w:szCs w:val="20"/>
        </w:rPr>
        <w:t>“</w:t>
      </w:r>
      <w:r w:rsidR="00681AD3" w:rsidRPr="00681AD3">
        <w:rPr>
          <w:rFonts w:ascii="Calibri" w:hAnsi="Calibri" w:cs="Calibri"/>
          <w:i/>
          <w:color w:val="000000"/>
          <w:sz w:val="20"/>
          <w:szCs w:val="20"/>
        </w:rPr>
        <w:t>Enhance the quality of expenditure, particularly by increasing cost-effectiveness of healthcare and by prioritising government capital expenditure in R&amp;D and in public infrastructure, in particular transport, water services and housing.</w:t>
      </w:r>
      <w:r w:rsidR="00681AD3">
        <w:rPr>
          <w:rFonts w:ascii="Calibri" w:hAnsi="Calibri" w:cs="Calibri"/>
          <w:i/>
          <w:color w:val="000000"/>
          <w:sz w:val="20"/>
          <w:szCs w:val="20"/>
        </w:rPr>
        <w:t>”</w:t>
      </w:r>
      <w:r w:rsidR="00681AD3">
        <w:rPr>
          <w:rStyle w:val="FootnoteReference"/>
          <w:rFonts w:ascii="Calibri" w:hAnsi="Calibri" w:cs="Calibri"/>
          <w:i/>
          <w:color w:val="000000"/>
          <w:sz w:val="20"/>
          <w:szCs w:val="20"/>
        </w:rPr>
        <w:footnoteReference w:id="22"/>
      </w:r>
      <w:r w:rsidR="00681AD3" w:rsidRPr="00681AD3">
        <w:rPr>
          <w:rFonts w:ascii="Calibri" w:hAnsi="Calibri" w:cs="Calibri"/>
          <w:i/>
          <w:color w:val="000000"/>
          <w:sz w:val="20"/>
          <w:szCs w:val="20"/>
        </w:rPr>
        <w:t xml:space="preserve"> </w:t>
      </w:r>
    </w:p>
    <w:p w14:paraId="12DE7490" w14:textId="77777777" w:rsidR="00681AD3" w:rsidRPr="00621AE4" w:rsidRDefault="00681AD3" w:rsidP="00681AD3">
      <w:pPr>
        <w:autoSpaceDE w:val="0"/>
        <w:autoSpaceDN w:val="0"/>
        <w:adjustRightInd w:val="0"/>
        <w:ind w:left="142" w:right="139"/>
        <w:rPr>
          <w:rFonts w:cs="Times New Roman"/>
          <w:i/>
          <w:color w:val="000000"/>
          <w:sz w:val="20"/>
          <w:szCs w:val="20"/>
        </w:rPr>
      </w:pPr>
    </w:p>
    <w:p w14:paraId="167C288D" w14:textId="38C983FD" w:rsidR="003A4DC5" w:rsidRPr="00AB215D" w:rsidRDefault="00CA6467" w:rsidP="00AB215D">
      <w:pPr>
        <w:autoSpaceDE w:val="0"/>
        <w:autoSpaceDN w:val="0"/>
        <w:adjustRightInd w:val="0"/>
        <w:rPr>
          <w:rFonts w:cs="HelveticaNeue-Light"/>
          <w:sz w:val="20"/>
          <w:szCs w:val="20"/>
        </w:rPr>
      </w:pPr>
      <w:r>
        <w:rPr>
          <w:rFonts w:cs="HelveticaNeue-Light"/>
          <w:sz w:val="20"/>
          <w:szCs w:val="20"/>
        </w:rPr>
        <w:t xml:space="preserve"> </w:t>
      </w:r>
      <w:r w:rsidR="003A4DC5" w:rsidRPr="00AB215D">
        <w:rPr>
          <w:rFonts w:cs="HelveticaNeue-Light"/>
          <w:sz w:val="20"/>
          <w:szCs w:val="20"/>
        </w:rPr>
        <w:t xml:space="preserve">In the </w:t>
      </w:r>
      <w:r w:rsidR="00934237">
        <w:rPr>
          <w:rFonts w:cs="HelveticaNeue-Light"/>
          <w:sz w:val="20"/>
          <w:szCs w:val="20"/>
        </w:rPr>
        <w:t xml:space="preserve">Irish </w:t>
      </w:r>
      <w:r w:rsidR="003A4DC5" w:rsidRPr="00AB215D">
        <w:rPr>
          <w:rFonts w:cs="HelveticaNeue-Light"/>
          <w:sz w:val="20"/>
          <w:szCs w:val="20"/>
        </w:rPr>
        <w:t xml:space="preserve">Fiscal Advisory Council’s June 2016 report detailing investment and depreciation, the Council </w:t>
      </w:r>
      <w:r w:rsidR="00934237">
        <w:rPr>
          <w:rFonts w:cs="HelveticaNeue-Light"/>
          <w:sz w:val="20"/>
          <w:szCs w:val="20"/>
        </w:rPr>
        <w:t xml:space="preserve">also </w:t>
      </w:r>
      <w:r w:rsidR="003A4DC5" w:rsidRPr="00AB215D">
        <w:rPr>
          <w:rFonts w:cs="HelveticaNeue-Light"/>
          <w:sz w:val="20"/>
          <w:szCs w:val="20"/>
        </w:rPr>
        <w:t>highlighted some issues of concern</w:t>
      </w:r>
      <w:r w:rsidR="00934237">
        <w:rPr>
          <w:rFonts w:cs="HelveticaNeue-Light"/>
          <w:sz w:val="20"/>
          <w:szCs w:val="20"/>
        </w:rPr>
        <w:t>.</w:t>
      </w:r>
      <w:r w:rsidR="003A4DC5" w:rsidRPr="00AB215D">
        <w:rPr>
          <w:rFonts w:cs="HelveticaNeue-Light"/>
          <w:sz w:val="20"/>
          <w:szCs w:val="20"/>
        </w:rPr>
        <w:t xml:space="preserve"> The Council’s analysis expresses investment in GNP terms. The Report noted that:</w:t>
      </w:r>
    </w:p>
    <w:p w14:paraId="342C59B4" w14:textId="1CA3DEA2" w:rsidR="003A4DC5" w:rsidRPr="00AB215D" w:rsidRDefault="003A4DC5" w:rsidP="000373A6">
      <w:pPr>
        <w:pStyle w:val="ListParagraph"/>
        <w:numPr>
          <w:ilvl w:val="0"/>
          <w:numId w:val="4"/>
        </w:numPr>
        <w:autoSpaceDE w:val="0"/>
        <w:autoSpaceDN w:val="0"/>
        <w:adjustRightInd w:val="0"/>
        <w:spacing w:after="0" w:line="280" w:lineRule="atLeast"/>
        <w:jc w:val="both"/>
        <w:rPr>
          <w:rFonts w:asciiTheme="minorHAnsi" w:hAnsiTheme="minorHAnsi" w:cs="HelveticaNeue-Light"/>
          <w:sz w:val="20"/>
          <w:szCs w:val="20"/>
        </w:rPr>
      </w:pPr>
      <w:r w:rsidRPr="00AB215D">
        <w:rPr>
          <w:rFonts w:asciiTheme="minorHAnsi" w:hAnsiTheme="minorHAnsi" w:cs="HelveticaNeue-Light"/>
          <w:sz w:val="20"/>
          <w:szCs w:val="20"/>
        </w:rPr>
        <w:t>The average level of public investment was 3.7</w:t>
      </w:r>
      <w:r w:rsidR="00934237">
        <w:rPr>
          <w:rFonts w:asciiTheme="minorHAnsi" w:hAnsiTheme="minorHAnsi" w:cs="HelveticaNeue-Light"/>
          <w:sz w:val="20"/>
          <w:szCs w:val="20"/>
        </w:rPr>
        <w:t xml:space="preserve"> per cent</w:t>
      </w:r>
      <w:r w:rsidRPr="00AB215D">
        <w:rPr>
          <w:rFonts w:asciiTheme="minorHAnsi" w:hAnsiTheme="minorHAnsi" w:cs="HelveticaNeue-Light"/>
          <w:sz w:val="20"/>
          <w:szCs w:val="20"/>
        </w:rPr>
        <w:t xml:space="preserve"> of GNP between 1995 and 2015;</w:t>
      </w:r>
    </w:p>
    <w:p w14:paraId="247A15E0" w14:textId="30454E3C" w:rsidR="003A4DC5" w:rsidRPr="00AB215D" w:rsidRDefault="003A4DC5" w:rsidP="000373A6">
      <w:pPr>
        <w:pStyle w:val="ListParagraph"/>
        <w:numPr>
          <w:ilvl w:val="0"/>
          <w:numId w:val="4"/>
        </w:numPr>
        <w:autoSpaceDE w:val="0"/>
        <w:autoSpaceDN w:val="0"/>
        <w:adjustRightInd w:val="0"/>
        <w:spacing w:after="0" w:line="280" w:lineRule="atLeast"/>
        <w:jc w:val="both"/>
        <w:rPr>
          <w:rFonts w:asciiTheme="minorHAnsi" w:hAnsiTheme="minorHAnsi" w:cs="HelveticaNeue-Light"/>
          <w:sz w:val="20"/>
          <w:szCs w:val="20"/>
        </w:rPr>
      </w:pPr>
      <w:r w:rsidRPr="00AB215D">
        <w:rPr>
          <w:rFonts w:asciiTheme="minorHAnsi" w:hAnsiTheme="minorHAnsi" w:cs="HelveticaNeue-Light"/>
          <w:sz w:val="20"/>
          <w:szCs w:val="20"/>
        </w:rPr>
        <w:t xml:space="preserve">As of the </w:t>
      </w:r>
      <w:r w:rsidR="00BF1082">
        <w:rPr>
          <w:rFonts w:asciiTheme="minorHAnsi" w:hAnsiTheme="minorHAnsi" w:cs="HelveticaNeue-Light"/>
          <w:sz w:val="20"/>
          <w:szCs w:val="20"/>
        </w:rPr>
        <w:t xml:space="preserve">2016 </w:t>
      </w:r>
      <w:r w:rsidRPr="00AB215D">
        <w:rPr>
          <w:rFonts w:asciiTheme="minorHAnsi" w:hAnsiTheme="minorHAnsi" w:cs="HelveticaNeue-Light"/>
          <w:sz w:val="20"/>
          <w:szCs w:val="20"/>
        </w:rPr>
        <w:t>S</w:t>
      </w:r>
      <w:r w:rsidR="00BF1082">
        <w:rPr>
          <w:rFonts w:asciiTheme="minorHAnsi" w:hAnsiTheme="minorHAnsi" w:cs="HelveticaNeue-Light"/>
          <w:sz w:val="20"/>
          <w:szCs w:val="20"/>
        </w:rPr>
        <w:t>tability Programme Update (S</w:t>
      </w:r>
      <w:r w:rsidRPr="00AB215D">
        <w:rPr>
          <w:rFonts w:asciiTheme="minorHAnsi" w:hAnsiTheme="minorHAnsi" w:cs="HelveticaNeue-Light"/>
          <w:sz w:val="20"/>
          <w:szCs w:val="20"/>
        </w:rPr>
        <w:t>PU</w:t>
      </w:r>
      <w:r w:rsidR="00BF1082">
        <w:rPr>
          <w:rFonts w:asciiTheme="minorHAnsi" w:hAnsiTheme="minorHAnsi" w:cs="HelveticaNeue-Light"/>
          <w:sz w:val="20"/>
          <w:szCs w:val="20"/>
        </w:rPr>
        <w:t>)</w:t>
      </w:r>
      <w:r w:rsidRPr="00AB215D">
        <w:rPr>
          <w:rFonts w:asciiTheme="minorHAnsi" w:hAnsiTheme="minorHAnsi" w:cs="HelveticaNeue-Light"/>
          <w:sz w:val="20"/>
          <w:szCs w:val="20"/>
        </w:rPr>
        <w:t xml:space="preserve">, the projected </w:t>
      </w:r>
      <w:r w:rsidR="004057AA">
        <w:rPr>
          <w:rFonts w:asciiTheme="minorHAnsi" w:hAnsiTheme="minorHAnsi" w:cs="HelveticaNeue-Light"/>
          <w:sz w:val="20"/>
          <w:szCs w:val="20"/>
        </w:rPr>
        <w:t>levels of</w:t>
      </w:r>
      <w:r w:rsidRPr="00AB215D">
        <w:rPr>
          <w:rFonts w:asciiTheme="minorHAnsi" w:hAnsiTheme="minorHAnsi" w:cs="HelveticaNeue-Light"/>
          <w:sz w:val="20"/>
          <w:szCs w:val="20"/>
        </w:rPr>
        <w:t xml:space="preserve"> investment for 2016 to 2021 was to be 2.1</w:t>
      </w:r>
      <w:r w:rsidR="00934237">
        <w:rPr>
          <w:rFonts w:asciiTheme="minorHAnsi" w:hAnsiTheme="minorHAnsi" w:cs="HelveticaNeue-Light"/>
          <w:sz w:val="20"/>
          <w:szCs w:val="20"/>
        </w:rPr>
        <w:t xml:space="preserve"> per cent</w:t>
      </w:r>
      <w:r w:rsidRPr="00AB215D">
        <w:rPr>
          <w:rFonts w:asciiTheme="minorHAnsi" w:hAnsiTheme="minorHAnsi" w:cs="HelveticaNeue-Light"/>
          <w:sz w:val="20"/>
          <w:szCs w:val="20"/>
        </w:rPr>
        <w:t xml:space="preserve"> of GNP;</w:t>
      </w:r>
    </w:p>
    <w:p w14:paraId="7AA5F0C9" w14:textId="7048D997" w:rsidR="003A4DC5" w:rsidRPr="00AB215D" w:rsidRDefault="003A4DC5" w:rsidP="000373A6">
      <w:pPr>
        <w:pStyle w:val="ListParagraph"/>
        <w:numPr>
          <w:ilvl w:val="0"/>
          <w:numId w:val="4"/>
        </w:numPr>
        <w:autoSpaceDE w:val="0"/>
        <w:autoSpaceDN w:val="0"/>
        <w:adjustRightInd w:val="0"/>
        <w:spacing w:after="0" w:line="280" w:lineRule="atLeast"/>
        <w:jc w:val="both"/>
        <w:rPr>
          <w:rFonts w:asciiTheme="minorHAnsi" w:hAnsiTheme="minorHAnsi" w:cs="HelveticaNeue-Light"/>
          <w:sz w:val="20"/>
          <w:szCs w:val="20"/>
        </w:rPr>
      </w:pPr>
      <w:r w:rsidRPr="00AB215D">
        <w:rPr>
          <w:rFonts w:asciiTheme="minorHAnsi" w:hAnsiTheme="minorHAnsi" w:cs="HelveticaNeue-Light"/>
          <w:sz w:val="20"/>
          <w:szCs w:val="20"/>
        </w:rPr>
        <w:t>“</w:t>
      </w:r>
      <w:r w:rsidRPr="00AB215D">
        <w:rPr>
          <w:rFonts w:asciiTheme="minorHAnsi" w:hAnsiTheme="minorHAnsi" w:cs="HelveticaNeue-Light"/>
          <w:i/>
          <w:sz w:val="20"/>
          <w:szCs w:val="20"/>
        </w:rPr>
        <w:t>On average, over the period 1995-2014 depreciation has accounted for 61 per cent of G</w:t>
      </w:r>
      <w:r w:rsidR="004057AA">
        <w:rPr>
          <w:rFonts w:asciiTheme="minorHAnsi" w:hAnsiTheme="minorHAnsi" w:cs="HelveticaNeue-Light"/>
          <w:i/>
          <w:sz w:val="20"/>
          <w:szCs w:val="20"/>
        </w:rPr>
        <w:t>FCF</w:t>
      </w:r>
      <w:r w:rsidRPr="00AB215D">
        <w:rPr>
          <w:rFonts w:asciiTheme="minorHAnsi" w:hAnsiTheme="minorHAnsi" w:cs="HelveticaNeue-Light"/>
          <w:i/>
          <w:sz w:val="20"/>
          <w:szCs w:val="20"/>
        </w:rPr>
        <w:t>,</w:t>
      </w:r>
      <w:r w:rsidRPr="00AB215D">
        <w:rPr>
          <w:rStyle w:val="FootnoteReference"/>
          <w:rFonts w:asciiTheme="minorHAnsi" w:hAnsiTheme="minorHAnsi" w:cs="HelveticaNeue-Light"/>
          <w:i/>
          <w:sz w:val="20"/>
          <w:szCs w:val="20"/>
        </w:rPr>
        <w:footnoteReference w:id="23"/>
      </w:r>
      <w:r w:rsidRPr="00AB215D">
        <w:rPr>
          <w:rFonts w:asciiTheme="minorHAnsi" w:hAnsiTheme="minorHAnsi" w:cs="HelveticaNeue-Light"/>
          <w:i/>
          <w:sz w:val="20"/>
          <w:szCs w:val="20"/>
        </w:rPr>
        <w:t xml:space="preserve"> with a peak of 105 per cent in 2013</w:t>
      </w:r>
      <w:r w:rsidRPr="00AB215D">
        <w:rPr>
          <w:rFonts w:asciiTheme="minorHAnsi" w:hAnsiTheme="minorHAnsi" w:cs="HelveticaNeue-Light"/>
          <w:sz w:val="20"/>
          <w:szCs w:val="20"/>
        </w:rPr>
        <w:t>”.</w:t>
      </w:r>
      <w:r w:rsidRPr="00AB215D">
        <w:rPr>
          <w:rStyle w:val="FootnoteReference"/>
          <w:rFonts w:asciiTheme="minorHAnsi" w:hAnsiTheme="minorHAnsi" w:cs="HelveticaNeue-Light"/>
          <w:sz w:val="20"/>
          <w:szCs w:val="20"/>
        </w:rPr>
        <w:footnoteReference w:id="24"/>
      </w:r>
    </w:p>
    <w:p w14:paraId="4B135AFC" w14:textId="77777777" w:rsidR="003A4DC5" w:rsidRPr="00AB215D" w:rsidRDefault="003A4DC5" w:rsidP="00AB215D">
      <w:pPr>
        <w:autoSpaceDE w:val="0"/>
        <w:autoSpaceDN w:val="0"/>
        <w:adjustRightInd w:val="0"/>
        <w:rPr>
          <w:rFonts w:cs="HelveticaNeue-Light"/>
          <w:sz w:val="20"/>
          <w:szCs w:val="20"/>
        </w:rPr>
      </w:pPr>
    </w:p>
    <w:p w14:paraId="40965B13" w14:textId="3B42A368" w:rsidR="003A4DC5" w:rsidRDefault="003A4DC5" w:rsidP="00AB215D">
      <w:pPr>
        <w:autoSpaceDE w:val="0"/>
        <w:autoSpaceDN w:val="0"/>
        <w:adjustRightInd w:val="0"/>
        <w:rPr>
          <w:rFonts w:cs="HelveticaNeue-Light"/>
          <w:sz w:val="20"/>
          <w:szCs w:val="20"/>
        </w:rPr>
      </w:pPr>
      <w:r w:rsidRPr="00AB215D">
        <w:rPr>
          <w:rFonts w:cs="HelveticaNeue-Light"/>
          <w:sz w:val="20"/>
          <w:szCs w:val="20"/>
        </w:rPr>
        <w:t xml:space="preserve">With regard to the </w:t>
      </w:r>
      <w:r w:rsidRPr="00AB215D">
        <w:rPr>
          <w:rFonts w:cs="HelveticaNeue-Light"/>
          <w:i/>
          <w:sz w:val="20"/>
          <w:szCs w:val="20"/>
        </w:rPr>
        <w:t>Capital Plan</w:t>
      </w:r>
      <w:r w:rsidR="00BF1082">
        <w:rPr>
          <w:rFonts w:cs="HelveticaNeue-Light"/>
          <w:i/>
          <w:sz w:val="20"/>
          <w:szCs w:val="20"/>
        </w:rPr>
        <w:t xml:space="preserve"> 2016-2021</w:t>
      </w:r>
      <w:r w:rsidRPr="00AB215D">
        <w:rPr>
          <w:rFonts w:cs="HelveticaNeue-Light"/>
          <w:i/>
          <w:sz w:val="20"/>
          <w:szCs w:val="20"/>
        </w:rPr>
        <w:t xml:space="preserve">, </w:t>
      </w:r>
      <w:r w:rsidRPr="00AB215D">
        <w:rPr>
          <w:rFonts w:cs="HelveticaNeue-Light"/>
          <w:sz w:val="20"/>
          <w:szCs w:val="20"/>
        </w:rPr>
        <w:t>the Council estimates that €4.4 billion of the €6 billion allocated to investment in roads will cover depreciation costs (i.e. 73</w:t>
      </w:r>
      <w:r w:rsidR="00CA6467">
        <w:rPr>
          <w:rFonts w:cs="HelveticaNeue-Light"/>
          <w:sz w:val="20"/>
          <w:szCs w:val="20"/>
        </w:rPr>
        <w:t>%</w:t>
      </w:r>
      <w:r w:rsidRPr="00AB215D">
        <w:rPr>
          <w:rFonts w:cs="HelveticaNeue-Light"/>
          <w:sz w:val="20"/>
          <w:szCs w:val="20"/>
        </w:rPr>
        <w:t xml:space="preserve">). Of the total </w:t>
      </w:r>
      <w:r w:rsidR="00BF1082">
        <w:rPr>
          <w:rFonts w:cs="HelveticaNeue-Light"/>
          <w:sz w:val="20"/>
          <w:szCs w:val="20"/>
        </w:rPr>
        <w:t xml:space="preserve">infrastructure investment </w:t>
      </w:r>
      <w:r w:rsidRPr="00AB215D">
        <w:rPr>
          <w:rFonts w:cs="HelveticaNeue-Light"/>
          <w:sz w:val="20"/>
          <w:szCs w:val="20"/>
        </w:rPr>
        <w:t>of €4</w:t>
      </w:r>
      <w:r w:rsidR="00BF1082">
        <w:rPr>
          <w:rFonts w:cs="HelveticaNeue-Light"/>
          <w:sz w:val="20"/>
          <w:szCs w:val="20"/>
        </w:rPr>
        <w:t>2</w:t>
      </w:r>
      <w:r w:rsidRPr="00AB215D">
        <w:rPr>
          <w:rFonts w:cs="HelveticaNeue-Light"/>
          <w:sz w:val="20"/>
          <w:szCs w:val="20"/>
        </w:rPr>
        <w:t xml:space="preserve"> billion</w:t>
      </w:r>
      <w:r w:rsidR="00CA6467">
        <w:rPr>
          <w:rFonts w:cs="HelveticaNeue-Light"/>
          <w:sz w:val="20"/>
          <w:szCs w:val="20"/>
        </w:rPr>
        <w:t xml:space="preserve"> </w:t>
      </w:r>
      <w:r w:rsidR="00BF1082">
        <w:rPr>
          <w:rFonts w:cs="HelveticaNeue-Light"/>
          <w:sz w:val="20"/>
          <w:szCs w:val="20"/>
        </w:rPr>
        <w:t xml:space="preserve">in the </w:t>
      </w:r>
      <w:r w:rsidR="00BF1082" w:rsidRPr="00BF1082">
        <w:rPr>
          <w:rFonts w:cs="HelveticaNeue-Light"/>
          <w:i/>
          <w:sz w:val="20"/>
          <w:szCs w:val="20"/>
        </w:rPr>
        <w:t>Capital Plan</w:t>
      </w:r>
      <w:r w:rsidRPr="00AB215D">
        <w:rPr>
          <w:rFonts w:cs="HelveticaNeue-Light"/>
          <w:sz w:val="20"/>
          <w:szCs w:val="20"/>
        </w:rPr>
        <w:t>, the Report notes that this “</w:t>
      </w:r>
      <w:r w:rsidRPr="00AB215D">
        <w:rPr>
          <w:rFonts w:cs="HelveticaNeue-Light"/>
          <w:i/>
          <w:sz w:val="20"/>
          <w:szCs w:val="20"/>
        </w:rPr>
        <w:t>is barely adequate to cover the estimated cost of depreciation of public capital, based on historic depreciation rates</w:t>
      </w:r>
      <w:r w:rsidRPr="00AB215D">
        <w:rPr>
          <w:rFonts w:cs="HelveticaNeue-Light"/>
          <w:sz w:val="20"/>
          <w:szCs w:val="20"/>
        </w:rPr>
        <w:t>”.</w:t>
      </w:r>
      <w:r w:rsidRPr="00AB215D">
        <w:rPr>
          <w:rStyle w:val="FootnoteReference"/>
          <w:rFonts w:cs="HelveticaNeue-Light"/>
          <w:sz w:val="20"/>
          <w:szCs w:val="20"/>
        </w:rPr>
        <w:footnoteReference w:id="25"/>
      </w:r>
      <w:r w:rsidRPr="00AB215D">
        <w:rPr>
          <w:rFonts w:cs="HelveticaNeue-Light"/>
          <w:sz w:val="20"/>
          <w:szCs w:val="20"/>
        </w:rPr>
        <w:t xml:space="preserve"> It notes that the public capital stock will fall as a percentage of GNP over the medium term and hence investment will not keep pace with economic growth. The CIF is very concerned about the effects of depreciation on Ireland’s capital stock and about the anticipated low replacement rate of this stock. Several indicators point to infrastructural deficits</w:t>
      </w:r>
      <w:r w:rsidR="00BF1082">
        <w:rPr>
          <w:rFonts w:cs="HelveticaNeue-Light"/>
          <w:sz w:val="20"/>
          <w:szCs w:val="20"/>
        </w:rPr>
        <w:t xml:space="preserve"> and pressure points</w:t>
      </w:r>
      <w:r w:rsidRPr="00AB215D">
        <w:rPr>
          <w:rFonts w:cs="HelveticaNeue-Light"/>
          <w:sz w:val="20"/>
          <w:szCs w:val="20"/>
        </w:rPr>
        <w:t xml:space="preserve"> in Ireland, as shown below. </w:t>
      </w:r>
    </w:p>
    <w:p w14:paraId="4CB1987C" w14:textId="77777777" w:rsidR="00CA6467" w:rsidRPr="00AB215D" w:rsidRDefault="00CA6467" w:rsidP="00AB215D">
      <w:pPr>
        <w:autoSpaceDE w:val="0"/>
        <w:autoSpaceDN w:val="0"/>
        <w:adjustRightInd w:val="0"/>
        <w:rPr>
          <w:sz w:val="20"/>
          <w:szCs w:val="20"/>
        </w:rPr>
      </w:pPr>
    </w:p>
    <w:p w14:paraId="613A7F8C" w14:textId="77777777" w:rsidR="003A4DC5" w:rsidRPr="00934237" w:rsidRDefault="003A4DC5" w:rsidP="00AB215D">
      <w:pPr>
        <w:autoSpaceDE w:val="0"/>
        <w:autoSpaceDN w:val="0"/>
        <w:adjustRightInd w:val="0"/>
        <w:rPr>
          <w:rFonts w:cs="HelveticaNeue-Light"/>
          <w:b/>
          <w:color w:val="005596"/>
          <w:sz w:val="20"/>
          <w:szCs w:val="20"/>
        </w:rPr>
      </w:pPr>
      <w:r w:rsidRPr="00934237">
        <w:rPr>
          <w:rFonts w:cs="HelveticaNeue-Light"/>
          <w:b/>
          <w:color w:val="005596"/>
          <w:sz w:val="20"/>
          <w:szCs w:val="20"/>
        </w:rPr>
        <w:t>Competitiveness</w:t>
      </w:r>
    </w:p>
    <w:p w14:paraId="1C3C002B" w14:textId="5D326C9E" w:rsidR="003A4DC5" w:rsidRPr="00AB215D" w:rsidRDefault="003A4DC5" w:rsidP="00563B1B">
      <w:pPr>
        <w:pStyle w:val="ListParagraph"/>
        <w:numPr>
          <w:ilvl w:val="0"/>
          <w:numId w:val="7"/>
        </w:numPr>
        <w:autoSpaceDE w:val="0"/>
        <w:autoSpaceDN w:val="0"/>
        <w:adjustRightInd w:val="0"/>
        <w:spacing w:after="0" w:line="280" w:lineRule="atLeast"/>
        <w:ind w:left="426"/>
        <w:jc w:val="both"/>
        <w:rPr>
          <w:rFonts w:asciiTheme="minorHAnsi" w:hAnsiTheme="minorHAnsi" w:cs="HelveticaNeue-Light"/>
          <w:sz w:val="20"/>
          <w:szCs w:val="20"/>
        </w:rPr>
      </w:pPr>
      <w:r w:rsidRPr="00AB215D">
        <w:rPr>
          <w:rFonts w:asciiTheme="minorHAnsi" w:hAnsiTheme="minorHAnsi" w:cs="HelveticaNeue-Light"/>
          <w:sz w:val="20"/>
          <w:szCs w:val="20"/>
        </w:rPr>
        <w:t>In 2016-2017, Ireland ranked 23</w:t>
      </w:r>
      <w:r w:rsidRPr="00AB215D">
        <w:rPr>
          <w:rFonts w:asciiTheme="minorHAnsi" w:hAnsiTheme="minorHAnsi" w:cs="HelveticaNeue-Light"/>
          <w:sz w:val="20"/>
          <w:szCs w:val="20"/>
          <w:vertAlign w:val="superscript"/>
        </w:rPr>
        <w:t>rd</w:t>
      </w:r>
      <w:r w:rsidRPr="00AB215D">
        <w:rPr>
          <w:rFonts w:asciiTheme="minorHAnsi" w:hAnsiTheme="minorHAnsi" w:cs="HelveticaNeue-Light"/>
          <w:sz w:val="20"/>
          <w:szCs w:val="20"/>
        </w:rPr>
        <w:t xml:space="preserve"> on the Global Competitiveness Index</w:t>
      </w:r>
      <w:r w:rsidR="005A57C7">
        <w:rPr>
          <w:rFonts w:asciiTheme="minorHAnsi" w:hAnsiTheme="minorHAnsi" w:cs="HelveticaNeue-Light"/>
          <w:sz w:val="20"/>
          <w:szCs w:val="20"/>
        </w:rPr>
        <w:t xml:space="preserve"> (out of 138 countries)</w:t>
      </w:r>
      <w:r w:rsidRPr="00AB215D">
        <w:rPr>
          <w:rFonts w:asciiTheme="minorHAnsi" w:hAnsiTheme="minorHAnsi" w:cs="HelveticaNeue-Light"/>
          <w:sz w:val="20"/>
          <w:szCs w:val="20"/>
        </w:rPr>
        <w:t>, up from 24</w:t>
      </w:r>
      <w:r w:rsidRPr="00AB215D">
        <w:rPr>
          <w:rFonts w:asciiTheme="minorHAnsi" w:hAnsiTheme="minorHAnsi" w:cs="HelveticaNeue-Light"/>
          <w:sz w:val="20"/>
          <w:szCs w:val="20"/>
          <w:vertAlign w:val="superscript"/>
        </w:rPr>
        <w:t>th</w:t>
      </w:r>
      <w:r w:rsidRPr="00AB215D">
        <w:rPr>
          <w:rFonts w:asciiTheme="minorHAnsi" w:hAnsiTheme="minorHAnsi" w:cs="HelveticaNeue-Light"/>
          <w:sz w:val="20"/>
          <w:szCs w:val="20"/>
        </w:rPr>
        <w:t xml:space="preserve"> in the previous year. Ireland ranked </w:t>
      </w:r>
      <w:r w:rsidR="00135B88">
        <w:rPr>
          <w:rFonts w:asciiTheme="minorHAnsi" w:hAnsiTheme="minorHAnsi" w:cs="HelveticaNeue-Light"/>
          <w:sz w:val="20"/>
          <w:szCs w:val="20"/>
        </w:rPr>
        <w:t>29</w:t>
      </w:r>
      <w:r w:rsidRPr="00AB215D">
        <w:rPr>
          <w:rFonts w:asciiTheme="minorHAnsi" w:hAnsiTheme="minorHAnsi" w:cs="HelveticaNeue-Light"/>
          <w:sz w:val="20"/>
          <w:szCs w:val="20"/>
          <w:vertAlign w:val="superscript"/>
        </w:rPr>
        <w:t>th</w:t>
      </w:r>
      <w:r w:rsidRPr="00AB215D">
        <w:rPr>
          <w:rFonts w:asciiTheme="minorHAnsi" w:hAnsiTheme="minorHAnsi" w:cs="HelveticaNeue-Light"/>
          <w:sz w:val="20"/>
          <w:szCs w:val="20"/>
        </w:rPr>
        <w:t xml:space="preserve"> regarding the quality of its overall infrastructure.</w:t>
      </w:r>
      <w:r w:rsidRPr="00AB215D">
        <w:rPr>
          <w:rStyle w:val="FootnoteReference"/>
          <w:rFonts w:asciiTheme="minorHAnsi" w:hAnsiTheme="minorHAnsi" w:cs="HelveticaNeue-Light"/>
          <w:sz w:val="20"/>
          <w:szCs w:val="20"/>
        </w:rPr>
        <w:t xml:space="preserve"> </w:t>
      </w:r>
      <w:r w:rsidRPr="00AB215D">
        <w:rPr>
          <w:rStyle w:val="FootnoteReference"/>
          <w:rFonts w:asciiTheme="minorHAnsi" w:hAnsiTheme="minorHAnsi" w:cs="HelveticaNeue-Light"/>
          <w:sz w:val="20"/>
          <w:szCs w:val="20"/>
        </w:rPr>
        <w:footnoteReference w:id="26"/>
      </w:r>
      <w:r w:rsidRPr="00AB215D">
        <w:rPr>
          <w:rFonts w:asciiTheme="minorHAnsi" w:hAnsiTheme="minorHAnsi" w:cs="HelveticaNeue-Light"/>
          <w:sz w:val="20"/>
          <w:szCs w:val="20"/>
        </w:rPr>
        <w:t xml:space="preserve"> </w:t>
      </w:r>
    </w:p>
    <w:p w14:paraId="44DF3116" w14:textId="3C4290F7" w:rsidR="003A4DC5" w:rsidRDefault="003A4DC5" w:rsidP="00563B1B">
      <w:pPr>
        <w:pStyle w:val="ListParagraph"/>
        <w:numPr>
          <w:ilvl w:val="0"/>
          <w:numId w:val="7"/>
        </w:numPr>
        <w:autoSpaceDE w:val="0"/>
        <w:autoSpaceDN w:val="0"/>
        <w:adjustRightInd w:val="0"/>
        <w:spacing w:after="0" w:line="280" w:lineRule="atLeast"/>
        <w:ind w:left="426"/>
        <w:jc w:val="both"/>
        <w:rPr>
          <w:rFonts w:asciiTheme="minorHAnsi" w:hAnsiTheme="minorHAnsi" w:cs="HelveticaNeue-Light"/>
          <w:sz w:val="20"/>
          <w:szCs w:val="20"/>
        </w:rPr>
      </w:pPr>
      <w:r w:rsidRPr="00AB215D">
        <w:rPr>
          <w:rFonts w:asciiTheme="minorHAnsi" w:hAnsiTheme="minorHAnsi" w:cs="HelveticaNeue-Light"/>
          <w:sz w:val="20"/>
          <w:szCs w:val="20"/>
        </w:rPr>
        <w:t xml:space="preserve">In the World Economic Forum’s Executive Opinion Survey 2016, </w:t>
      </w:r>
      <w:r w:rsidR="00323AC7">
        <w:rPr>
          <w:rFonts w:asciiTheme="minorHAnsi" w:hAnsiTheme="minorHAnsi" w:cs="HelveticaNeue-Light"/>
          <w:sz w:val="20"/>
          <w:szCs w:val="20"/>
        </w:rPr>
        <w:t xml:space="preserve">26 per cent of respondents cited an </w:t>
      </w:r>
      <w:r w:rsidRPr="00AB215D">
        <w:rPr>
          <w:rFonts w:asciiTheme="minorHAnsi" w:hAnsiTheme="minorHAnsi" w:cs="HelveticaNeue-Light"/>
          <w:sz w:val="20"/>
          <w:szCs w:val="20"/>
        </w:rPr>
        <w:t>inadequate supply of infrastructure as the most problematic factor for doing business in Ireland. This was followed by tax rates (16%) and access to finance (16%).</w:t>
      </w:r>
      <w:r w:rsidRPr="00AB215D">
        <w:rPr>
          <w:rStyle w:val="FootnoteReference"/>
          <w:rFonts w:asciiTheme="minorHAnsi" w:hAnsiTheme="minorHAnsi" w:cs="HelveticaNeue-Light"/>
          <w:sz w:val="20"/>
          <w:szCs w:val="20"/>
        </w:rPr>
        <w:footnoteReference w:id="27"/>
      </w:r>
    </w:p>
    <w:p w14:paraId="77A41254" w14:textId="77777777" w:rsidR="006A5CF7" w:rsidRDefault="006A5CF7" w:rsidP="00AB215D">
      <w:pPr>
        <w:autoSpaceDE w:val="0"/>
        <w:autoSpaceDN w:val="0"/>
        <w:adjustRightInd w:val="0"/>
        <w:rPr>
          <w:rFonts w:cs="HelveticaNeue-Light"/>
          <w:b/>
          <w:color w:val="005596"/>
          <w:sz w:val="20"/>
          <w:szCs w:val="20"/>
        </w:rPr>
      </w:pPr>
    </w:p>
    <w:p w14:paraId="416AED10" w14:textId="77777777" w:rsidR="003A4DC5" w:rsidRPr="00934237" w:rsidRDefault="003A4DC5" w:rsidP="00AB215D">
      <w:pPr>
        <w:autoSpaceDE w:val="0"/>
        <w:autoSpaceDN w:val="0"/>
        <w:adjustRightInd w:val="0"/>
        <w:rPr>
          <w:rFonts w:cs="HelveticaNeue-Light"/>
          <w:b/>
          <w:color w:val="005596"/>
          <w:sz w:val="20"/>
          <w:szCs w:val="20"/>
        </w:rPr>
      </w:pPr>
      <w:r w:rsidRPr="00934237">
        <w:rPr>
          <w:rFonts w:cs="HelveticaNeue-Light"/>
          <w:b/>
          <w:color w:val="005596"/>
          <w:sz w:val="20"/>
          <w:szCs w:val="20"/>
        </w:rPr>
        <w:t>Transport</w:t>
      </w:r>
    </w:p>
    <w:p w14:paraId="3E155102" w14:textId="458D43A3" w:rsidR="003A4DC5" w:rsidRPr="00AB215D" w:rsidRDefault="003A4DC5" w:rsidP="00563B1B">
      <w:pPr>
        <w:pStyle w:val="ListParagraph"/>
        <w:numPr>
          <w:ilvl w:val="0"/>
          <w:numId w:val="7"/>
        </w:numPr>
        <w:autoSpaceDE w:val="0"/>
        <w:autoSpaceDN w:val="0"/>
        <w:adjustRightInd w:val="0"/>
        <w:spacing w:after="0" w:line="280" w:lineRule="atLeast"/>
        <w:ind w:left="426"/>
        <w:jc w:val="both"/>
        <w:rPr>
          <w:rFonts w:asciiTheme="minorHAnsi" w:hAnsiTheme="minorHAnsi" w:cs="HelveticaNeue-Light"/>
          <w:color w:val="000000" w:themeColor="text1"/>
          <w:sz w:val="20"/>
          <w:szCs w:val="20"/>
        </w:rPr>
      </w:pPr>
      <w:r w:rsidRPr="00AB215D">
        <w:rPr>
          <w:rFonts w:asciiTheme="minorHAnsi" w:hAnsiTheme="minorHAnsi" w:cs="FrutigerNextPro-Light"/>
          <w:color w:val="000006"/>
          <w:sz w:val="20"/>
          <w:szCs w:val="20"/>
        </w:rPr>
        <w:t>The Department of Transport, Tourism and Sport has estimated that, relative to current levels, there will be a 35</w:t>
      </w:r>
      <w:r w:rsidR="00323AC7">
        <w:rPr>
          <w:rFonts w:asciiTheme="minorHAnsi" w:hAnsiTheme="minorHAnsi" w:cs="FrutigerNextPro-Light"/>
          <w:color w:val="000006"/>
          <w:sz w:val="20"/>
          <w:szCs w:val="20"/>
        </w:rPr>
        <w:t xml:space="preserve"> per cent</w:t>
      </w:r>
      <w:r w:rsidRPr="00AB215D">
        <w:rPr>
          <w:rFonts w:asciiTheme="minorHAnsi" w:hAnsiTheme="minorHAnsi" w:cs="FrutigerNextPro-Light"/>
          <w:color w:val="000006"/>
          <w:sz w:val="20"/>
          <w:szCs w:val="20"/>
        </w:rPr>
        <w:t xml:space="preserve"> increase in the number of commuting trips made by 2040: this will be the equivalence of 650,000 daily trip</w:t>
      </w:r>
      <w:r w:rsidRPr="00AB215D">
        <w:rPr>
          <w:rFonts w:asciiTheme="minorHAnsi" w:hAnsiTheme="minorHAnsi" w:cs="FrutigerNextPro-Light"/>
          <w:color w:val="000000" w:themeColor="text1"/>
          <w:sz w:val="20"/>
          <w:szCs w:val="20"/>
        </w:rPr>
        <w:t>s.</w:t>
      </w:r>
      <w:r w:rsidRPr="00AB215D">
        <w:rPr>
          <w:rStyle w:val="FootnoteReference"/>
          <w:rFonts w:asciiTheme="minorHAnsi" w:hAnsiTheme="minorHAnsi" w:cs="FrutigerNextPro-Bold"/>
          <w:bCs/>
          <w:color w:val="000000" w:themeColor="text1"/>
          <w:sz w:val="20"/>
          <w:szCs w:val="20"/>
        </w:rPr>
        <w:footnoteReference w:id="28"/>
      </w:r>
      <w:r w:rsidRPr="00AB215D">
        <w:rPr>
          <w:rFonts w:asciiTheme="minorHAnsi" w:hAnsiTheme="minorHAnsi" w:cs="HelveticaNeue-Light"/>
          <w:color w:val="000000" w:themeColor="text1"/>
          <w:sz w:val="20"/>
          <w:szCs w:val="20"/>
        </w:rPr>
        <w:t xml:space="preserve"> </w:t>
      </w:r>
    </w:p>
    <w:p w14:paraId="52D19D88" w14:textId="4185CB99" w:rsidR="003A4DC5" w:rsidRPr="00AB215D" w:rsidRDefault="003A4DC5" w:rsidP="00563B1B">
      <w:pPr>
        <w:pStyle w:val="ListParagraph"/>
        <w:numPr>
          <w:ilvl w:val="0"/>
          <w:numId w:val="7"/>
        </w:numPr>
        <w:autoSpaceDE w:val="0"/>
        <w:autoSpaceDN w:val="0"/>
        <w:adjustRightInd w:val="0"/>
        <w:spacing w:after="0" w:line="280" w:lineRule="atLeast"/>
        <w:ind w:left="426"/>
        <w:jc w:val="both"/>
        <w:rPr>
          <w:rFonts w:asciiTheme="minorHAnsi" w:hAnsiTheme="minorHAnsi" w:cs="HelveticaNeue-Light"/>
          <w:color w:val="000000" w:themeColor="text1"/>
          <w:sz w:val="20"/>
          <w:szCs w:val="20"/>
        </w:rPr>
      </w:pPr>
      <w:r w:rsidRPr="00AB215D">
        <w:rPr>
          <w:rFonts w:asciiTheme="minorHAnsi" w:hAnsiTheme="minorHAnsi"/>
          <w:sz w:val="20"/>
          <w:szCs w:val="20"/>
        </w:rPr>
        <w:t>Based on the TomTom Traffic Index for 2016, which measures congestion in cities around the world, Dublin ranks 20</w:t>
      </w:r>
      <w:r w:rsidRPr="00AB215D">
        <w:rPr>
          <w:rFonts w:asciiTheme="minorHAnsi" w:hAnsiTheme="minorHAnsi"/>
          <w:sz w:val="20"/>
          <w:szCs w:val="20"/>
          <w:vertAlign w:val="superscript"/>
        </w:rPr>
        <w:t>th</w:t>
      </w:r>
      <w:r w:rsidRPr="00AB215D">
        <w:rPr>
          <w:rFonts w:asciiTheme="minorHAnsi" w:hAnsiTheme="minorHAnsi"/>
          <w:sz w:val="20"/>
          <w:szCs w:val="20"/>
        </w:rPr>
        <w:t xml:space="preserve"> amongst all cities and 5</w:t>
      </w:r>
      <w:r w:rsidRPr="00AB215D">
        <w:rPr>
          <w:rFonts w:asciiTheme="minorHAnsi" w:hAnsiTheme="minorHAnsi"/>
          <w:sz w:val="20"/>
          <w:szCs w:val="20"/>
          <w:vertAlign w:val="superscript"/>
        </w:rPr>
        <w:t>th</w:t>
      </w:r>
      <w:r w:rsidRPr="00AB215D">
        <w:rPr>
          <w:rFonts w:asciiTheme="minorHAnsi" w:hAnsiTheme="minorHAnsi"/>
          <w:sz w:val="20"/>
          <w:szCs w:val="20"/>
        </w:rPr>
        <w:t xml:space="preserve"> in Europe, irrespective of size; amongst cities with a population of 800,000 or less across the world, Dublin ranks 3</w:t>
      </w:r>
      <w:r w:rsidRPr="00AB215D">
        <w:rPr>
          <w:rFonts w:asciiTheme="minorHAnsi" w:hAnsiTheme="minorHAnsi"/>
          <w:sz w:val="20"/>
          <w:szCs w:val="20"/>
          <w:vertAlign w:val="superscript"/>
        </w:rPr>
        <w:t>rd</w:t>
      </w:r>
      <w:r w:rsidRPr="00AB215D">
        <w:rPr>
          <w:rFonts w:asciiTheme="minorHAnsi" w:hAnsiTheme="minorHAnsi"/>
          <w:sz w:val="20"/>
          <w:szCs w:val="20"/>
        </w:rPr>
        <w:t>. Congestion in Dublin adds an average of 43</w:t>
      </w:r>
      <w:r w:rsidR="00064E55">
        <w:rPr>
          <w:rFonts w:asciiTheme="minorHAnsi" w:hAnsiTheme="minorHAnsi"/>
          <w:sz w:val="20"/>
          <w:szCs w:val="20"/>
        </w:rPr>
        <w:t xml:space="preserve"> per cent</w:t>
      </w:r>
      <w:r w:rsidRPr="00AB215D">
        <w:rPr>
          <w:rFonts w:asciiTheme="minorHAnsi" w:hAnsiTheme="minorHAnsi"/>
          <w:sz w:val="20"/>
          <w:szCs w:val="20"/>
        </w:rPr>
        <w:t xml:space="preserve"> to travel times.</w:t>
      </w:r>
      <w:r w:rsidRPr="00AB215D">
        <w:rPr>
          <w:rStyle w:val="FootnoteReference"/>
          <w:rFonts w:asciiTheme="minorHAnsi" w:hAnsiTheme="minorHAnsi"/>
          <w:sz w:val="20"/>
          <w:szCs w:val="20"/>
        </w:rPr>
        <w:t xml:space="preserve"> </w:t>
      </w:r>
      <w:r w:rsidRPr="00AB215D">
        <w:rPr>
          <w:rStyle w:val="FootnoteReference"/>
          <w:rFonts w:asciiTheme="minorHAnsi" w:hAnsiTheme="minorHAnsi"/>
          <w:sz w:val="20"/>
          <w:szCs w:val="20"/>
        </w:rPr>
        <w:footnoteReference w:id="29"/>
      </w:r>
      <w:r w:rsidR="00746E01">
        <w:rPr>
          <w:rFonts w:asciiTheme="minorHAnsi" w:hAnsiTheme="minorHAnsi"/>
          <w:sz w:val="20"/>
          <w:szCs w:val="20"/>
        </w:rPr>
        <w:t xml:space="preserve"> </w:t>
      </w:r>
      <w:r w:rsidR="00064E55">
        <w:rPr>
          <w:rFonts w:asciiTheme="minorHAnsi" w:hAnsiTheme="minorHAnsi"/>
          <w:sz w:val="20"/>
          <w:szCs w:val="20"/>
        </w:rPr>
        <w:t>Moreover</w:t>
      </w:r>
      <w:r w:rsidR="00746E01">
        <w:rPr>
          <w:rFonts w:asciiTheme="minorHAnsi" w:hAnsiTheme="minorHAnsi"/>
          <w:sz w:val="20"/>
          <w:szCs w:val="20"/>
        </w:rPr>
        <w:t xml:space="preserve">, the congestion levels projected for </w:t>
      </w:r>
      <w:r w:rsidR="00064E55">
        <w:rPr>
          <w:rFonts w:asciiTheme="minorHAnsi" w:hAnsiTheme="minorHAnsi"/>
          <w:sz w:val="20"/>
          <w:szCs w:val="20"/>
        </w:rPr>
        <w:t xml:space="preserve">the M50 in </w:t>
      </w:r>
      <w:r w:rsidR="00746E01">
        <w:rPr>
          <w:rFonts w:asciiTheme="minorHAnsi" w:hAnsiTheme="minorHAnsi"/>
          <w:sz w:val="20"/>
          <w:szCs w:val="20"/>
        </w:rPr>
        <w:t>2023 were reached in 2015.</w:t>
      </w:r>
      <w:r w:rsidR="00746E01">
        <w:rPr>
          <w:rStyle w:val="FootnoteReference"/>
          <w:rFonts w:asciiTheme="minorHAnsi" w:hAnsiTheme="minorHAnsi"/>
          <w:sz w:val="20"/>
          <w:szCs w:val="20"/>
        </w:rPr>
        <w:footnoteReference w:id="30"/>
      </w:r>
    </w:p>
    <w:p w14:paraId="4E954226" w14:textId="0D53A227" w:rsidR="003A4DC5" w:rsidRPr="00AB215D" w:rsidRDefault="003A4DC5" w:rsidP="00563B1B">
      <w:pPr>
        <w:pStyle w:val="ListParagraph"/>
        <w:numPr>
          <w:ilvl w:val="0"/>
          <w:numId w:val="7"/>
        </w:numPr>
        <w:autoSpaceDE w:val="0"/>
        <w:autoSpaceDN w:val="0"/>
        <w:adjustRightInd w:val="0"/>
        <w:spacing w:after="0" w:line="280" w:lineRule="atLeast"/>
        <w:ind w:left="426"/>
        <w:jc w:val="both"/>
        <w:rPr>
          <w:rFonts w:asciiTheme="minorHAnsi" w:hAnsiTheme="minorHAnsi"/>
          <w:sz w:val="20"/>
          <w:szCs w:val="20"/>
        </w:rPr>
      </w:pPr>
      <w:r w:rsidRPr="00AB215D">
        <w:rPr>
          <w:rFonts w:asciiTheme="minorHAnsi" w:hAnsiTheme="minorHAnsi" w:cs="HelveticaNeue-Light"/>
          <w:color w:val="000000" w:themeColor="text1"/>
          <w:sz w:val="20"/>
          <w:szCs w:val="20"/>
        </w:rPr>
        <w:t>In 2015, the number of passengers carried on the rail network was 1.9 billion, up 13</w:t>
      </w:r>
      <w:r w:rsidR="00064E55">
        <w:rPr>
          <w:rFonts w:asciiTheme="minorHAnsi" w:hAnsiTheme="minorHAnsi" w:cs="HelveticaNeue-Light"/>
          <w:color w:val="000000" w:themeColor="text1"/>
          <w:sz w:val="20"/>
          <w:szCs w:val="20"/>
        </w:rPr>
        <w:t xml:space="preserve"> per cent</w:t>
      </w:r>
      <w:r w:rsidRPr="00AB215D">
        <w:rPr>
          <w:rFonts w:asciiTheme="minorHAnsi" w:hAnsiTheme="minorHAnsi" w:cs="HelveticaNeue-Light"/>
          <w:color w:val="000000" w:themeColor="text1"/>
          <w:sz w:val="20"/>
          <w:szCs w:val="20"/>
        </w:rPr>
        <w:t xml:space="preserve"> on 2014.</w:t>
      </w:r>
      <w:r w:rsidRPr="00AB215D">
        <w:rPr>
          <w:rStyle w:val="FootnoteReference"/>
          <w:rFonts w:asciiTheme="minorHAnsi" w:hAnsiTheme="minorHAnsi" w:cs="HelveticaNeue-Light"/>
          <w:color w:val="000000" w:themeColor="text1"/>
          <w:sz w:val="20"/>
          <w:szCs w:val="20"/>
        </w:rPr>
        <w:footnoteReference w:id="31"/>
      </w:r>
      <w:r w:rsidRPr="00AB215D">
        <w:rPr>
          <w:rFonts w:asciiTheme="minorHAnsi" w:hAnsiTheme="minorHAnsi" w:cs="HelveticaNeue-Light"/>
          <w:color w:val="000000" w:themeColor="text1"/>
          <w:sz w:val="20"/>
          <w:szCs w:val="20"/>
        </w:rPr>
        <w:t xml:space="preserve"> With demand for services increasing, this could justify expanded investment in </w:t>
      </w:r>
      <w:r w:rsidR="007305A0">
        <w:rPr>
          <w:rFonts w:asciiTheme="minorHAnsi" w:hAnsiTheme="minorHAnsi" w:cs="HelveticaNeue-Light"/>
          <w:color w:val="000000" w:themeColor="text1"/>
          <w:sz w:val="20"/>
          <w:szCs w:val="20"/>
        </w:rPr>
        <w:t xml:space="preserve">parts of </w:t>
      </w:r>
      <w:r w:rsidRPr="00AB215D">
        <w:rPr>
          <w:rFonts w:asciiTheme="minorHAnsi" w:hAnsiTheme="minorHAnsi" w:cs="HelveticaNeue-Light"/>
          <w:color w:val="000000" w:themeColor="text1"/>
          <w:sz w:val="20"/>
          <w:szCs w:val="20"/>
        </w:rPr>
        <w:t xml:space="preserve">the network. In particular, the electrification of a number of railway lines would advantage many commuters and improve productivity. </w:t>
      </w:r>
    </w:p>
    <w:p w14:paraId="4F177A2E" w14:textId="77777777" w:rsidR="003A4DC5" w:rsidRPr="00AB215D" w:rsidRDefault="003A4DC5" w:rsidP="00563B1B">
      <w:pPr>
        <w:pStyle w:val="ListParagraph"/>
        <w:numPr>
          <w:ilvl w:val="0"/>
          <w:numId w:val="7"/>
        </w:numPr>
        <w:spacing w:after="0" w:line="280" w:lineRule="atLeast"/>
        <w:ind w:left="426"/>
        <w:jc w:val="both"/>
        <w:rPr>
          <w:rFonts w:asciiTheme="minorHAnsi" w:hAnsiTheme="minorHAnsi" w:cs="Arial"/>
          <w:color w:val="000000"/>
          <w:sz w:val="20"/>
          <w:szCs w:val="20"/>
        </w:rPr>
      </w:pPr>
      <w:r w:rsidRPr="00AB215D">
        <w:rPr>
          <w:rFonts w:asciiTheme="minorHAnsi" w:hAnsiTheme="minorHAnsi" w:cs="Arial"/>
          <w:color w:val="000000"/>
          <w:sz w:val="20"/>
          <w:szCs w:val="20"/>
        </w:rPr>
        <w:t>The quality of a nation’s infrastructure and the efficiency of the economy’s logistics are assumed to be positively correlated. In the World Bank Logistic Performance Index, Ireland ranked 18</w:t>
      </w:r>
      <w:r w:rsidRPr="00AB215D">
        <w:rPr>
          <w:rFonts w:asciiTheme="minorHAnsi" w:hAnsiTheme="minorHAnsi" w:cs="Arial"/>
          <w:color w:val="000000"/>
          <w:sz w:val="20"/>
          <w:szCs w:val="20"/>
          <w:vertAlign w:val="superscript"/>
        </w:rPr>
        <w:t>th</w:t>
      </w:r>
      <w:r w:rsidRPr="00AB215D">
        <w:rPr>
          <w:rFonts w:asciiTheme="minorHAnsi" w:hAnsiTheme="minorHAnsi" w:cs="Arial"/>
          <w:color w:val="000000"/>
          <w:sz w:val="20"/>
          <w:szCs w:val="20"/>
        </w:rPr>
        <w:t xml:space="preserve"> in the world in 2016. This was up from a low of 25</w:t>
      </w:r>
      <w:r w:rsidRPr="00AB215D">
        <w:rPr>
          <w:rFonts w:asciiTheme="minorHAnsi" w:hAnsiTheme="minorHAnsi" w:cs="Arial"/>
          <w:color w:val="000000"/>
          <w:sz w:val="20"/>
          <w:szCs w:val="20"/>
          <w:vertAlign w:val="superscript"/>
        </w:rPr>
        <w:t>th</w:t>
      </w:r>
      <w:r w:rsidRPr="00AB215D">
        <w:rPr>
          <w:rFonts w:asciiTheme="minorHAnsi" w:hAnsiTheme="minorHAnsi" w:cs="Arial"/>
          <w:color w:val="000000"/>
          <w:sz w:val="20"/>
          <w:szCs w:val="20"/>
        </w:rPr>
        <w:t xml:space="preserve"> in 2015 and down from a pre-crisis ranking of 11</w:t>
      </w:r>
      <w:r w:rsidRPr="00AB215D">
        <w:rPr>
          <w:rFonts w:asciiTheme="minorHAnsi" w:hAnsiTheme="minorHAnsi" w:cs="Arial"/>
          <w:color w:val="000000"/>
          <w:sz w:val="20"/>
          <w:szCs w:val="20"/>
          <w:vertAlign w:val="superscript"/>
        </w:rPr>
        <w:t>th</w:t>
      </w:r>
      <w:r w:rsidRPr="00AB215D">
        <w:rPr>
          <w:rFonts w:asciiTheme="minorHAnsi" w:hAnsiTheme="minorHAnsi" w:cs="Arial"/>
          <w:color w:val="000000"/>
          <w:sz w:val="20"/>
          <w:szCs w:val="20"/>
        </w:rPr>
        <w:t xml:space="preserve"> in 2007. Performance in the ranking is influenced by the efficiency of logistical operations, which in turn are a function of a country’s infrastructure, amongst other factors. </w:t>
      </w:r>
    </w:p>
    <w:p w14:paraId="6884CB7E" w14:textId="77777777" w:rsidR="00563B1B" w:rsidRDefault="00563B1B" w:rsidP="00AB215D">
      <w:pPr>
        <w:autoSpaceDE w:val="0"/>
        <w:autoSpaceDN w:val="0"/>
        <w:adjustRightInd w:val="0"/>
        <w:rPr>
          <w:rFonts w:cs="HelveticaNeue-Light"/>
          <w:b/>
          <w:color w:val="005596"/>
          <w:sz w:val="20"/>
          <w:szCs w:val="20"/>
        </w:rPr>
      </w:pPr>
    </w:p>
    <w:p w14:paraId="53FD0327" w14:textId="77777777" w:rsidR="003A4DC5" w:rsidRPr="00746E01" w:rsidRDefault="003A4DC5" w:rsidP="00AB215D">
      <w:pPr>
        <w:autoSpaceDE w:val="0"/>
        <w:autoSpaceDN w:val="0"/>
        <w:adjustRightInd w:val="0"/>
        <w:rPr>
          <w:rFonts w:cs="HelveticaNeue-Light"/>
          <w:b/>
          <w:color w:val="005596"/>
          <w:sz w:val="20"/>
          <w:szCs w:val="20"/>
        </w:rPr>
      </w:pPr>
      <w:r w:rsidRPr="00746E01">
        <w:rPr>
          <w:rFonts w:cs="HelveticaNeue-Light"/>
          <w:b/>
          <w:color w:val="005596"/>
          <w:sz w:val="20"/>
          <w:szCs w:val="20"/>
        </w:rPr>
        <w:t>Broadband</w:t>
      </w:r>
    </w:p>
    <w:p w14:paraId="2C6ED0CD" w14:textId="77777777" w:rsidR="003A4DC5" w:rsidRPr="00AB215D" w:rsidRDefault="003A4DC5" w:rsidP="00563B1B">
      <w:pPr>
        <w:pStyle w:val="ListParagraph"/>
        <w:numPr>
          <w:ilvl w:val="0"/>
          <w:numId w:val="8"/>
        </w:numPr>
        <w:autoSpaceDE w:val="0"/>
        <w:autoSpaceDN w:val="0"/>
        <w:adjustRightInd w:val="0"/>
        <w:spacing w:after="0" w:line="280" w:lineRule="atLeast"/>
        <w:ind w:left="426"/>
        <w:jc w:val="both"/>
        <w:rPr>
          <w:rFonts w:asciiTheme="minorHAnsi" w:hAnsiTheme="minorHAnsi"/>
          <w:sz w:val="20"/>
          <w:szCs w:val="20"/>
        </w:rPr>
      </w:pPr>
      <w:r w:rsidRPr="00AB215D">
        <w:rPr>
          <w:rFonts w:asciiTheme="minorHAnsi" w:hAnsiTheme="minorHAnsi" w:cs="Arial"/>
          <w:color w:val="000000"/>
          <w:sz w:val="20"/>
          <w:szCs w:val="20"/>
        </w:rPr>
        <w:t>In its Information Society Report 2016, the International Telecommunications Union</w:t>
      </w:r>
      <w:r w:rsidRPr="00AB215D">
        <w:rPr>
          <w:rFonts w:asciiTheme="minorHAnsi" w:hAnsiTheme="minorHAnsi"/>
          <w:sz w:val="20"/>
          <w:szCs w:val="20"/>
        </w:rPr>
        <w:t xml:space="preserve"> ranked Ireland 21</w:t>
      </w:r>
      <w:r w:rsidRPr="00AB215D">
        <w:rPr>
          <w:rFonts w:asciiTheme="minorHAnsi" w:hAnsiTheme="minorHAnsi"/>
          <w:sz w:val="20"/>
          <w:szCs w:val="20"/>
          <w:vertAlign w:val="superscript"/>
        </w:rPr>
        <w:t>st</w:t>
      </w:r>
      <w:r w:rsidRPr="00AB215D">
        <w:rPr>
          <w:rFonts w:asciiTheme="minorHAnsi" w:hAnsiTheme="minorHAnsi"/>
          <w:sz w:val="20"/>
          <w:szCs w:val="20"/>
        </w:rPr>
        <w:t xml:space="preserve"> in its ICT Development Index. Korea, Iceland, Denmark, Switzerland, and the UK occupied the top 5 spots. </w:t>
      </w:r>
    </w:p>
    <w:p w14:paraId="324D15F3" w14:textId="513C2301" w:rsidR="003A4DC5" w:rsidRDefault="003A4DC5" w:rsidP="00563B1B">
      <w:pPr>
        <w:pStyle w:val="ListParagraph"/>
        <w:numPr>
          <w:ilvl w:val="0"/>
          <w:numId w:val="8"/>
        </w:numPr>
        <w:autoSpaceDE w:val="0"/>
        <w:autoSpaceDN w:val="0"/>
        <w:adjustRightInd w:val="0"/>
        <w:spacing w:after="0" w:line="280" w:lineRule="atLeast"/>
        <w:ind w:left="426"/>
        <w:jc w:val="both"/>
        <w:rPr>
          <w:rFonts w:asciiTheme="minorHAnsi" w:hAnsiTheme="minorHAnsi"/>
          <w:sz w:val="20"/>
          <w:szCs w:val="20"/>
        </w:rPr>
      </w:pPr>
      <w:r w:rsidRPr="00AB215D">
        <w:rPr>
          <w:rFonts w:asciiTheme="minorHAnsi" w:hAnsiTheme="minorHAnsi"/>
          <w:sz w:val="20"/>
          <w:szCs w:val="20"/>
        </w:rPr>
        <w:t>Amongst European countries, Ireland ranked 14</w:t>
      </w:r>
      <w:r w:rsidRPr="00AB215D">
        <w:rPr>
          <w:rFonts w:asciiTheme="minorHAnsi" w:hAnsiTheme="minorHAnsi"/>
          <w:sz w:val="20"/>
          <w:szCs w:val="20"/>
          <w:vertAlign w:val="superscript"/>
        </w:rPr>
        <w:t>th</w:t>
      </w:r>
      <w:r w:rsidRPr="00AB215D">
        <w:rPr>
          <w:rFonts w:asciiTheme="minorHAnsi" w:hAnsiTheme="minorHAnsi"/>
          <w:sz w:val="20"/>
          <w:szCs w:val="20"/>
        </w:rPr>
        <w:t xml:space="preserve"> on the same index. The Report notes that</w:t>
      </w:r>
      <w:r w:rsidR="00A70C7D">
        <w:rPr>
          <w:rFonts w:asciiTheme="minorHAnsi" w:hAnsiTheme="minorHAnsi"/>
          <w:sz w:val="20"/>
          <w:szCs w:val="20"/>
        </w:rPr>
        <w:t>:</w:t>
      </w:r>
      <w:r w:rsidRPr="00AB215D">
        <w:rPr>
          <w:rFonts w:asciiTheme="minorHAnsi" w:hAnsiTheme="minorHAnsi"/>
          <w:sz w:val="20"/>
          <w:szCs w:val="20"/>
        </w:rPr>
        <w:t xml:space="preserve"> </w:t>
      </w:r>
      <w:r w:rsidRPr="00A70C7D">
        <w:rPr>
          <w:rFonts w:asciiTheme="minorHAnsi" w:hAnsiTheme="minorHAnsi"/>
          <w:i/>
          <w:sz w:val="20"/>
          <w:szCs w:val="20"/>
        </w:rPr>
        <w:t>“the highest entry-level fixed-broadband prices in the developed world are recorded in Ireland, at USD 50 per month”.</w:t>
      </w:r>
      <w:r w:rsidRPr="00AB215D">
        <w:rPr>
          <w:rStyle w:val="FootnoteReference"/>
          <w:rFonts w:asciiTheme="minorHAnsi" w:hAnsiTheme="minorHAnsi"/>
          <w:sz w:val="20"/>
          <w:szCs w:val="20"/>
        </w:rPr>
        <w:t xml:space="preserve"> </w:t>
      </w:r>
      <w:r w:rsidRPr="00AB215D">
        <w:rPr>
          <w:rStyle w:val="FootnoteReference"/>
          <w:rFonts w:asciiTheme="minorHAnsi" w:hAnsiTheme="minorHAnsi"/>
          <w:sz w:val="20"/>
          <w:szCs w:val="20"/>
        </w:rPr>
        <w:footnoteReference w:id="32"/>
      </w:r>
      <w:r w:rsidRPr="00AB215D">
        <w:rPr>
          <w:rFonts w:asciiTheme="minorHAnsi" w:hAnsiTheme="minorHAnsi"/>
          <w:sz w:val="20"/>
          <w:szCs w:val="20"/>
        </w:rPr>
        <w:t xml:space="preserve"> It is not clear why this is the case. </w:t>
      </w:r>
    </w:p>
    <w:p w14:paraId="2453ADC5" w14:textId="77777777" w:rsidR="00064E55" w:rsidRDefault="00064E55" w:rsidP="00746E01">
      <w:pPr>
        <w:autoSpaceDE w:val="0"/>
        <w:autoSpaceDN w:val="0"/>
        <w:adjustRightInd w:val="0"/>
        <w:rPr>
          <w:rFonts w:cs="HelveticaNeue-Light"/>
          <w:b/>
          <w:color w:val="005596"/>
          <w:sz w:val="20"/>
          <w:szCs w:val="20"/>
        </w:rPr>
      </w:pPr>
    </w:p>
    <w:p w14:paraId="5D074DBA" w14:textId="77777777" w:rsidR="003A4DC5" w:rsidRPr="00746E01" w:rsidRDefault="003A4DC5" w:rsidP="00746E01">
      <w:pPr>
        <w:autoSpaceDE w:val="0"/>
        <w:autoSpaceDN w:val="0"/>
        <w:adjustRightInd w:val="0"/>
        <w:rPr>
          <w:rFonts w:cs="HelveticaNeue-Light"/>
          <w:b/>
          <w:color w:val="005596"/>
          <w:sz w:val="20"/>
          <w:szCs w:val="20"/>
        </w:rPr>
      </w:pPr>
      <w:r w:rsidRPr="00746E01">
        <w:rPr>
          <w:rFonts w:cs="HelveticaNeue-Light"/>
          <w:b/>
          <w:color w:val="005596"/>
          <w:sz w:val="20"/>
          <w:szCs w:val="20"/>
        </w:rPr>
        <w:t>Housing</w:t>
      </w:r>
    </w:p>
    <w:p w14:paraId="7C3DB5B4" w14:textId="0FECABD1" w:rsidR="003A4DC5" w:rsidRPr="008E47D7" w:rsidRDefault="003A4DC5" w:rsidP="00563B1B">
      <w:pPr>
        <w:pStyle w:val="ListParagraph"/>
        <w:numPr>
          <w:ilvl w:val="0"/>
          <w:numId w:val="9"/>
        </w:numPr>
        <w:autoSpaceDE w:val="0"/>
        <w:autoSpaceDN w:val="0"/>
        <w:adjustRightInd w:val="0"/>
        <w:spacing w:after="0" w:line="280" w:lineRule="atLeast"/>
        <w:ind w:left="426"/>
        <w:jc w:val="both"/>
        <w:rPr>
          <w:rFonts w:asciiTheme="minorHAnsi" w:hAnsiTheme="minorHAnsi" w:cs="HelveticaNeue-Light"/>
          <w:sz w:val="20"/>
          <w:szCs w:val="20"/>
        </w:rPr>
      </w:pPr>
      <w:r w:rsidRPr="00AB215D">
        <w:rPr>
          <w:rFonts w:asciiTheme="minorHAnsi" w:hAnsiTheme="minorHAnsi"/>
          <w:sz w:val="20"/>
          <w:szCs w:val="20"/>
        </w:rPr>
        <w:t xml:space="preserve">With respect to investment in housing, a general consensus has emerged that the level of housing supply is well below an appropriate level. An estimated </w:t>
      </w:r>
      <w:r w:rsidR="00746E01">
        <w:rPr>
          <w:rFonts w:asciiTheme="minorHAnsi" w:hAnsiTheme="minorHAnsi"/>
          <w:sz w:val="20"/>
          <w:szCs w:val="20"/>
        </w:rPr>
        <w:t>8</w:t>
      </w:r>
      <w:r w:rsidRPr="00AB215D">
        <w:rPr>
          <w:rFonts w:asciiTheme="minorHAnsi" w:hAnsiTheme="minorHAnsi"/>
          <w:sz w:val="20"/>
          <w:szCs w:val="20"/>
        </w:rPr>
        <w:t xml:space="preserve">1,000 new homes are needed </w:t>
      </w:r>
      <w:r w:rsidR="00746E01">
        <w:rPr>
          <w:rFonts w:asciiTheme="minorHAnsi" w:hAnsiTheme="minorHAnsi"/>
          <w:sz w:val="20"/>
          <w:szCs w:val="20"/>
        </w:rPr>
        <w:t>across urban areas by 2020</w:t>
      </w:r>
      <w:r w:rsidRPr="00AB215D">
        <w:rPr>
          <w:rFonts w:asciiTheme="minorHAnsi" w:hAnsiTheme="minorHAnsi"/>
          <w:sz w:val="20"/>
          <w:szCs w:val="20"/>
        </w:rPr>
        <w:t>, according to the Housing Agency</w:t>
      </w:r>
      <w:r w:rsidR="00746E01">
        <w:rPr>
          <w:rFonts w:asciiTheme="minorHAnsi" w:hAnsiTheme="minorHAnsi"/>
          <w:sz w:val="20"/>
          <w:szCs w:val="20"/>
        </w:rPr>
        <w:t xml:space="preserve">, of which </w:t>
      </w:r>
      <w:r w:rsidR="00BF1052">
        <w:rPr>
          <w:rFonts w:asciiTheme="minorHAnsi" w:hAnsiTheme="minorHAnsi"/>
          <w:sz w:val="20"/>
          <w:szCs w:val="20"/>
        </w:rPr>
        <w:t>around 35,000 is the minimum requirement in the Dublin City region</w:t>
      </w:r>
      <w:r w:rsidRPr="00AB215D">
        <w:rPr>
          <w:rFonts w:asciiTheme="minorHAnsi" w:hAnsiTheme="minorHAnsi"/>
          <w:sz w:val="20"/>
          <w:szCs w:val="20"/>
        </w:rPr>
        <w:t>.</w:t>
      </w:r>
      <w:r w:rsidRPr="00AB215D">
        <w:rPr>
          <w:rStyle w:val="FootnoteReference"/>
          <w:rFonts w:asciiTheme="minorHAnsi" w:hAnsiTheme="minorHAnsi"/>
          <w:sz w:val="20"/>
          <w:szCs w:val="20"/>
        </w:rPr>
        <w:footnoteReference w:id="33"/>
      </w:r>
      <w:r w:rsidRPr="00AB215D">
        <w:rPr>
          <w:rFonts w:asciiTheme="minorHAnsi" w:hAnsiTheme="minorHAnsi"/>
          <w:sz w:val="20"/>
          <w:szCs w:val="20"/>
        </w:rPr>
        <w:t xml:space="preserve"> </w:t>
      </w:r>
    </w:p>
    <w:p w14:paraId="3F1DDF29" w14:textId="77777777" w:rsidR="008E47D7" w:rsidRPr="00BF1052" w:rsidRDefault="008E47D7" w:rsidP="008E47D7">
      <w:pPr>
        <w:pStyle w:val="ListParagraph"/>
        <w:autoSpaceDE w:val="0"/>
        <w:autoSpaceDN w:val="0"/>
        <w:adjustRightInd w:val="0"/>
        <w:spacing w:after="0" w:line="280" w:lineRule="atLeast"/>
        <w:ind w:left="426"/>
        <w:jc w:val="both"/>
        <w:rPr>
          <w:rFonts w:asciiTheme="minorHAnsi" w:hAnsiTheme="minorHAnsi" w:cs="HelveticaNeue-Light"/>
          <w:sz w:val="20"/>
          <w:szCs w:val="20"/>
        </w:rPr>
      </w:pPr>
    </w:p>
    <w:p w14:paraId="05882408" w14:textId="68320D9B" w:rsidR="00BF1052" w:rsidRPr="00A467F6" w:rsidRDefault="00BF1052" w:rsidP="00563B1B">
      <w:pPr>
        <w:pStyle w:val="ListParagraph"/>
        <w:numPr>
          <w:ilvl w:val="0"/>
          <w:numId w:val="9"/>
        </w:numPr>
        <w:autoSpaceDE w:val="0"/>
        <w:autoSpaceDN w:val="0"/>
        <w:adjustRightInd w:val="0"/>
        <w:spacing w:after="0" w:line="280" w:lineRule="atLeast"/>
        <w:ind w:left="426"/>
        <w:jc w:val="both"/>
        <w:rPr>
          <w:rFonts w:asciiTheme="minorHAnsi" w:hAnsiTheme="minorHAnsi" w:cs="HelveticaNeue-Light"/>
          <w:sz w:val="20"/>
          <w:szCs w:val="20"/>
        </w:rPr>
      </w:pPr>
      <w:r>
        <w:rPr>
          <w:rFonts w:asciiTheme="minorHAnsi" w:hAnsiTheme="minorHAnsi"/>
          <w:sz w:val="20"/>
          <w:szCs w:val="20"/>
        </w:rPr>
        <w:t>Ireland</w:t>
      </w:r>
      <w:r w:rsidR="00A70C7D">
        <w:rPr>
          <w:rFonts w:asciiTheme="minorHAnsi" w:hAnsiTheme="minorHAnsi"/>
          <w:sz w:val="20"/>
          <w:szCs w:val="20"/>
        </w:rPr>
        <w:t>’s</w:t>
      </w:r>
      <w:r>
        <w:rPr>
          <w:rFonts w:asciiTheme="minorHAnsi" w:hAnsiTheme="minorHAnsi"/>
          <w:sz w:val="20"/>
          <w:szCs w:val="20"/>
        </w:rPr>
        <w:t xml:space="preserve"> lack of supply is evident from the fact that </w:t>
      </w:r>
      <w:r w:rsidR="00064E55">
        <w:rPr>
          <w:rFonts w:asciiTheme="minorHAnsi" w:hAnsiTheme="minorHAnsi"/>
          <w:sz w:val="20"/>
          <w:szCs w:val="20"/>
        </w:rPr>
        <w:t xml:space="preserve">the level of house </w:t>
      </w:r>
      <w:r>
        <w:rPr>
          <w:rFonts w:asciiTheme="minorHAnsi" w:hAnsiTheme="minorHAnsi"/>
          <w:sz w:val="20"/>
          <w:szCs w:val="20"/>
        </w:rPr>
        <w:t xml:space="preserve">completions per 1,000 of the population </w:t>
      </w:r>
      <w:r w:rsidR="00064E55">
        <w:rPr>
          <w:rFonts w:asciiTheme="minorHAnsi" w:hAnsiTheme="minorHAnsi"/>
          <w:sz w:val="20"/>
          <w:szCs w:val="20"/>
        </w:rPr>
        <w:t xml:space="preserve">was less than 3 </w:t>
      </w:r>
      <w:r>
        <w:rPr>
          <w:rFonts w:asciiTheme="minorHAnsi" w:hAnsiTheme="minorHAnsi"/>
          <w:sz w:val="20"/>
          <w:szCs w:val="20"/>
        </w:rPr>
        <w:t>in 2016</w:t>
      </w:r>
      <w:r w:rsidR="005713E3">
        <w:rPr>
          <w:rFonts w:asciiTheme="minorHAnsi" w:hAnsiTheme="minorHAnsi"/>
          <w:sz w:val="20"/>
          <w:szCs w:val="20"/>
        </w:rPr>
        <w:t xml:space="preserve">, down from </w:t>
      </w:r>
      <w:r w:rsidR="00064E55">
        <w:rPr>
          <w:rFonts w:asciiTheme="minorHAnsi" w:hAnsiTheme="minorHAnsi"/>
          <w:sz w:val="20"/>
          <w:szCs w:val="20"/>
        </w:rPr>
        <w:t>20</w:t>
      </w:r>
      <w:r>
        <w:rPr>
          <w:rFonts w:asciiTheme="minorHAnsi" w:hAnsiTheme="minorHAnsi"/>
          <w:sz w:val="20"/>
          <w:szCs w:val="20"/>
        </w:rPr>
        <w:t xml:space="preserve"> in 2006</w:t>
      </w:r>
      <w:r w:rsidR="005713E3">
        <w:rPr>
          <w:rFonts w:asciiTheme="minorHAnsi" w:hAnsiTheme="minorHAnsi"/>
          <w:sz w:val="20"/>
          <w:szCs w:val="20"/>
        </w:rPr>
        <w:t>. The corresponding level was over 5 in Austria, Sweden, Finland, and, France</w:t>
      </w:r>
      <w:r>
        <w:rPr>
          <w:rFonts w:asciiTheme="minorHAnsi" w:hAnsiTheme="minorHAnsi"/>
          <w:sz w:val="20"/>
          <w:szCs w:val="20"/>
        </w:rPr>
        <w:t xml:space="preserve"> and</w:t>
      </w:r>
      <w:r w:rsidR="005713E3">
        <w:rPr>
          <w:rFonts w:asciiTheme="minorHAnsi" w:hAnsiTheme="minorHAnsi"/>
          <w:sz w:val="20"/>
          <w:szCs w:val="20"/>
        </w:rPr>
        <w:t xml:space="preserve"> over 6 in Switzerland and Norway in 2016</w:t>
      </w:r>
      <w:r>
        <w:rPr>
          <w:rFonts w:asciiTheme="minorHAnsi" w:hAnsiTheme="minorHAnsi"/>
          <w:sz w:val="20"/>
          <w:szCs w:val="20"/>
        </w:rPr>
        <w:t>.</w:t>
      </w:r>
      <w:r>
        <w:rPr>
          <w:rStyle w:val="FootnoteReference"/>
          <w:rFonts w:asciiTheme="minorHAnsi" w:hAnsiTheme="minorHAnsi"/>
          <w:sz w:val="20"/>
          <w:szCs w:val="20"/>
        </w:rPr>
        <w:footnoteReference w:id="34"/>
      </w:r>
      <w:r>
        <w:rPr>
          <w:rFonts w:asciiTheme="minorHAnsi" w:hAnsiTheme="minorHAnsi"/>
          <w:sz w:val="20"/>
          <w:szCs w:val="20"/>
        </w:rPr>
        <w:t xml:space="preserve"> </w:t>
      </w:r>
    </w:p>
    <w:p w14:paraId="7A9CBF19" w14:textId="77777777" w:rsidR="00A83D1C" w:rsidRPr="00AB215D" w:rsidRDefault="00A83D1C" w:rsidP="00A83D1C">
      <w:pPr>
        <w:pStyle w:val="ListParagraph"/>
        <w:autoSpaceDE w:val="0"/>
        <w:autoSpaceDN w:val="0"/>
        <w:adjustRightInd w:val="0"/>
        <w:spacing w:after="0" w:line="280" w:lineRule="atLeast"/>
        <w:jc w:val="both"/>
        <w:rPr>
          <w:rFonts w:asciiTheme="minorHAnsi" w:hAnsiTheme="minorHAnsi" w:cs="HelveticaNeue-Light"/>
          <w:sz w:val="20"/>
          <w:szCs w:val="20"/>
        </w:rPr>
      </w:pPr>
    </w:p>
    <w:p w14:paraId="0C6E59A8" w14:textId="49C5A88F" w:rsidR="003A4DC5" w:rsidRDefault="003A4DC5" w:rsidP="00AB215D">
      <w:pPr>
        <w:pStyle w:val="DKMBodyText"/>
        <w:rPr>
          <w:rFonts w:asciiTheme="minorHAnsi" w:hAnsiTheme="minorHAnsi"/>
          <w:sz w:val="20"/>
          <w:szCs w:val="20"/>
        </w:rPr>
      </w:pPr>
      <w:r w:rsidRPr="00AB215D">
        <w:rPr>
          <w:rFonts w:asciiTheme="minorHAnsi" w:hAnsiTheme="minorHAnsi"/>
          <w:sz w:val="20"/>
          <w:szCs w:val="20"/>
        </w:rPr>
        <w:t xml:space="preserve">All of the above indicators point to a need to increase capital </w:t>
      </w:r>
      <w:r w:rsidR="00A70C7D">
        <w:rPr>
          <w:rFonts w:asciiTheme="minorHAnsi" w:hAnsiTheme="minorHAnsi"/>
          <w:sz w:val="20"/>
          <w:szCs w:val="20"/>
        </w:rPr>
        <w:t>investment</w:t>
      </w:r>
      <w:r w:rsidRPr="00AB215D">
        <w:rPr>
          <w:rFonts w:asciiTheme="minorHAnsi" w:hAnsiTheme="minorHAnsi"/>
          <w:sz w:val="20"/>
          <w:szCs w:val="20"/>
        </w:rPr>
        <w:t xml:space="preserve"> to resolve bottlenecks in the Irish economy.</w:t>
      </w:r>
    </w:p>
    <w:p w14:paraId="73064500" w14:textId="77777777" w:rsidR="00CA6467" w:rsidRPr="008766F7" w:rsidRDefault="00CA6467" w:rsidP="00CA6467">
      <w:pPr>
        <w:pStyle w:val="DKM2"/>
        <w:rPr>
          <w:sz w:val="22"/>
          <w:szCs w:val="22"/>
        </w:rPr>
      </w:pPr>
      <w:bookmarkStart w:id="17" w:name="_Toc478116688"/>
      <w:r w:rsidRPr="008766F7">
        <w:rPr>
          <w:sz w:val="22"/>
          <w:szCs w:val="22"/>
        </w:rPr>
        <w:t>Key Bottlenecks in the Economy</w:t>
      </w:r>
      <w:bookmarkEnd w:id="17"/>
    </w:p>
    <w:p w14:paraId="5291F9E6" w14:textId="07542F0B" w:rsidR="00CA6467" w:rsidRPr="00AE7D30" w:rsidRDefault="00CA6467" w:rsidP="00CA6467">
      <w:pPr>
        <w:rPr>
          <w:sz w:val="20"/>
          <w:szCs w:val="20"/>
        </w:rPr>
      </w:pPr>
      <w:r w:rsidRPr="00AE7D30">
        <w:rPr>
          <w:sz w:val="20"/>
          <w:szCs w:val="20"/>
        </w:rPr>
        <w:t xml:space="preserve">The need for public capital investment and the resolution of bottlenecks </w:t>
      </w:r>
      <w:r w:rsidR="005713E3">
        <w:rPr>
          <w:sz w:val="20"/>
          <w:szCs w:val="20"/>
        </w:rPr>
        <w:t>are</w:t>
      </w:r>
      <w:r w:rsidRPr="00AE7D30">
        <w:rPr>
          <w:sz w:val="20"/>
          <w:szCs w:val="20"/>
        </w:rPr>
        <w:t xml:space="preserve"> influenced by demographic changes such as births, deaths, and migration, </w:t>
      </w:r>
      <w:r w:rsidR="005713E3">
        <w:rPr>
          <w:sz w:val="20"/>
          <w:szCs w:val="20"/>
        </w:rPr>
        <w:t xml:space="preserve">which </w:t>
      </w:r>
      <w:r w:rsidRPr="00AE7D30">
        <w:rPr>
          <w:sz w:val="20"/>
          <w:szCs w:val="20"/>
        </w:rPr>
        <w:t xml:space="preserve">can be </w:t>
      </w:r>
      <w:r w:rsidR="005713E3">
        <w:rPr>
          <w:sz w:val="20"/>
          <w:szCs w:val="20"/>
        </w:rPr>
        <w:t>used as</w:t>
      </w:r>
      <w:r w:rsidRPr="00AE7D30">
        <w:rPr>
          <w:sz w:val="20"/>
          <w:szCs w:val="20"/>
        </w:rPr>
        <w:t xml:space="preserve"> indicators pointing to pressure on public services. </w:t>
      </w:r>
    </w:p>
    <w:p w14:paraId="452CD1C8" w14:textId="77777777" w:rsidR="00CA6467" w:rsidRPr="00AE7D30" w:rsidRDefault="00CA6467" w:rsidP="00CA6467">
      <w:pPr>
        <w:rPr>
          <w:sz w:val="20"/>
          <w:szCs w:val="20"/>
        </w:rPr>
      </w:pPr>
    </w:p>
    <w:p w14:paraId="6378CEB4" w14:textId="439D74DD" w:rsidR="00CA6467" w:rsidRPr="00AE7D30" w:rsidRDefault="00CA6467" w:rsidP="00CA6467">
      <w:pPr>
        <w:rPr>
          <w:sz w:val="20"/>
          <w:szCs w:val="20"/>
        </w:rPr>
      </w:pPr>
      <w:r w:rsidRPr="00AE7D30">
        <w:rPr>
          <w:sz w:val="20"/>
          <w:szCs w:val="20"/>
        </w:rPr>
        <w:t>According to the CSO, there were 4,758 million individuals living in the State on Census night 2016.</w:t>
      </w:r>
      <w:r w:rsidRPr="00AE7D30">
        <w:rPr>
          <w:rStyle w:val="FootnoteReference"/>
          <w:sz w:val="20"/>
          <w:szCs w:val="20"/>
        </w:rPr>
        <w:footnoteReference w:id="35"/>
      </w:r>
      <w:r w:rsidRPr="00AE7D30">
        <w:rPr>
          <w:sz w:val="20"/>
          <w:szCs w:val="20"/>
        </w:rPr>
        <w:t xml:space="preserve"> As of February 2017, no data is available on the breakdown of this population into age cohorts. The most recent CSO projections for population growth by age cohort were released in 2013, under a range of different scenarios. In the analysis below we have updated these estimates in line with the DKM </w:t>
      </w:r>
      <w:r w:rsidR="005D76FB">
        <w:rPr>
          <w:sz w:val="20"/>
          <w:szCs w:val="20"/>
        </w:rPr>
        <w:t>Demographic M</w:t>
      </w:r>
      <w:r w:rsidRPr="00AE7D30">
        <w:rPr>
          <w:sz w:val="20"/>
          <w:szCs w:val="20"/>
        </w:rPr>
        <w:t xml:space="preserve">odel, which is an appropriate tool for estimating age cohort growth in the absence of up to date CSO data. </w:t>
      </w:r>
    </w:p>
    <w:p w14:paraId="2C9EC28F" w14:textId="77777777" w:rsidR="00CA6467" w:rsidRPr="00AE7D30" w:rsidRDefault="00CA6467" w:rsidP="00CA6467">
      <w:pPr>
        <w:rPr>
          <w:sz w:val="20"/>
          <w:szCs w:val="20"/>
        </w:rPr>
      </w:pPr>
    </w:p>
    <w:p w14:paraId="619AA264" w14:textId="4E284B66" w:rsidR="00CA6467" w:rsidRDefault="00CA6467" w:rsidP="00CA6467">
      <w:pPr>
        <w:rPr>
          <w:sz w:val="20"/>
          <w:szCs w:val="20"/>
        </w:rPr>
      </w:pPr>
      <w:r w:rsidRPr="00AE7D30">
        <w:rPr>
          <w:sz w:val="20"/>
          <w:szCs w:val="20"/>
        </w:rPr>
        <w:t>In line with the CSO, these projections show that over the coming years the demographics of the Irish population are expected to change considerably.</w:t>
      </w:r>
      <w:r w:rsidRPr="00AE7D30">
        <w:rPr>
          <w:rStyle w:val="FootnoteReference"/>
          <w:sz w:val="20"/>
          <w:szCs w:val="20"/>
        </w:rPr>
        <w:footnoteReference w:id="36"/>
      </w:r>
      <w:r w:rsidRPr="00AE7D30">
        <w:rPr>
          <w:sz w:val="20"/>
          <w:szCs w:val="20"/>
        </w:rPr>
        <w:t xml:space="preserve"> Table </w:t>
      </w:r>
      <w:r w:rsidR="005D76FB">
        <w:rPr>
          <w:sz w:val="20"/>
          <w:szCs w:val="20"/>
        </w:rPr>
        <w:t>2.1</w:t>
      </w:r>
      <w:r w:rsidRPr="00AE7D30">
        <w:rPr>
          <w:sz w:val="20"/>
          <w:szCs w:val="20"/>
        </w:rPr>
        <w:t xml:space="preserve"> shows the projected population, </w:t>
      </w:r>
      <w:r w:rsidR="005D76FB">
        <w:rPr>
          <w:sz w:val="20"/>
          <w:szCs w:val="20"/>
        </w:rPr>
        <w:t>by</w:t>
      </w:r>
      <w:r w:rsidRPr="00AE7D30">
        <w:rPr>
          <w:sz w:val="20"/>
          <w:szCs w:val="20"/>
        </w:rPr>
        <w:t xml:space="preserve"> age cohorts, in each Census year to 2031. </w:t>
      </w:r>
    </w:p>
    <w:p w14:paraId="1A9548F2" w14:textId="77777777" w:rsidR="005D76FB" w:rsidRPr="00AE7D30" w:rsidRDefault="005D76FB" w:rsidP="00CA6467">
      <w:pPr>
        <w:rPr>
          <w:sz w:val="20"/>
          <w:szCs w:val="20"/>
        </w:rPr>
      </w:pPr>
    </w:p>
    <w:p w14:paraId="0454CA3F" w14:textId="77777777" w:rsidR="00CA6467" w:rsidRPr="00AB215D" w:rsidRDefault="00CA6467" w:rsidP="00CA6467">
      <w:pPr>
        <w:pStyle w:val="DKMTable"/>
        <w:spacing w:before="0" w:after="0"/>
        <w:rPr>
          <w:sz w:val="20"/>
          <w:szCs w:val="20"/>
        </w:rPr>
      </w:pPr>
      <w:bookmarkStart w:id="18" w:name="_Toc478116715"/>
      <w:r w:rsidRPr="00AB215D">
        <w:rPr>
          <w:sz w:val="20"/>
          <w:szCs w:val="20"/>
        </w:rPr>
        <w:t>Projected Population by Age Cohort, Census Years 2016-2031 (000s)</w:t>
      </w:r>
      <w:bookmarkEnd w:id="18"/>
    </w:p>
    <w:tbl>
      <w:tblPr>
        <w:tblStyle w:val="ColorfulList-Accent1"/>
        <w:tblW w:w="7215" w:type="dxa"/>
        <w:tblLook w:val="04A0" w:firstRow="1" w:lastRow="0" w:firstColumn="1" w:lastColumn="0" w:noHBand="0" w:noVBand="1"/>
      </w:tblPr>
      <w:tblGrid>
        <w:gridCol w:w="1959"/>
        <w:gridCol w:w="1481"/>
        <w:gridCol w:w="1481"/>
        <w:gridCol w:w="1147"/>
        <w:gridCol w:w="1147"/>
      </w:tblGrid>
      <w:tr w:rsidR="00CA6467" w:rsidRPr="00AB215D" w14:paraId="01C76233" w14:textId="77777777" w:rsidTr="005713E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9" w:type="dxa"/>
            <w:noWrap/>
            <w:hideMark/>
          </w:tcPr>
          <w:p w14:paraId="43DF864A" w14:textId="77777777" w:rsidR="00CA6467" w:rsidRPr="00AB215D" w:rsidRDefault="00CA6467" w:rsidP="001A376E">
            <w:pPr>
              <w:rPr>
                <w:rFonts w:eastAsia="Times New Roman" w:cs="Times New Roman"/>
                <w:bCs w:val="0"/>
                <w:color w:val="FFFFFF"/>
                <w:sz w:val="20"/>
                <w:szCs w:val="20"/>
              </w:rPr>
            </w:pPr>
            <w:r w:rsidRPr="00AB215D">
              <w:rPr>
                <w:rFonts w:eastAsia="Times New Roman" w:cs="Times New Roman"/>
                <w:bCs w:val="0"/>
                <w:color w:val="FFFFFF"/>
                <w:sz w:val="20"/>
                <w:szCs w:val="20"/>
              </w:rPr>
              <w:t>Age Cohort</w:t>
            </w:r>
          </w:p>
        </w:tc>
        <w:tc>
          <w:tcPr>
            <w:tcW w:w="1481" w:type="dxa"/>
            <w:noWrap/>
            <w:hideMark/>
          </w:tcPr>
          <w:p w14:paraId="712F8F95" w14:textId="77777777" w:rsidR="00CA6467" w:rsidRPr="00AB215D" w:rsidRDefault="00CA6467" w:rsidP="001A376E">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20"/>
                <w:szCs w:val="20"/>
              </w:rPr>
            </w:pPr>
            <w:r w:rsidRPr="00AB215D">
              <w:rPr>
                <w:rFonts w:eastAsia="Times New Roman" w:cs="Times New Roman"/>
                <w:bCs w:val="0"/>
                <w:color w:val="FFFFFF"/>
                <w:sz w:val="20"/>
                <w:szCs w:val="20"/>
              </w:rPr>
              <w:t>2016</w:t>
            </w:r>
          </w:p>
        </w:tc>
        <w:tc>
          <w:tcPr>
            <w:tcW w:w="1481" w:type="dxa"/>
            <w:noWrap/>
            <w:hideMark/>
          </w:tcPr>
          <w:p w14:paraId="48A44B01" w14:textId="77777777" w:rsidR="00CA6467" w:rsidRPr="00AB215D" w:rsidRDefault="00CA6467" w:rsidP="001A376E">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20"/>
                <w:szCs w:val="20"/>
              </w:rPr>
            </w:pPr>
            <w:r w:rsidRPr="00AB215D">
              <w:rPr>
                <w:rFonts w:eastAsia="Times New Roman" w:cs="Times New Roman"/>
                <w:bCs w:val="0"/>
                <w:color w:val="FFFFFF"/>
                <w:sz w:val="20"/>
                <w:szCs w:val="20"/>
              </w:rPr>
              <w:t>2021</w:t>
            </w:r>
          </w:p>
        </w:tc>
        <w:tc>
          <w:tcPr>
            <w:tcW w:w="1147" w:type="dxa"/>
            <w:noWrap/>
            <w:hideMark/>
          </w:tcPr>
          <w:p w14:paraId="61DE3336" w14:textId="77777777" w:rsidR="00CA6467" w:rsidRPr="00AB215D" w:rsidRDefault="00CA6467" w:rsidP="001A376E">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20"/>
                <w:szCs w:val="20"/>
              </w:rPr>
            </w:pPr>
            <w:r w:rsidRPr="00AB215D">
              <w:rPr>
                <w:rFonts w:eastAsia="Times New Roman" w:cs="Times New Roman"/>
                <w:bCs w:val="0"/>
                <w:color w:val="FFFFFF"/>
                <w:sz w:val="20"/>
                <w:szCs w:val="20"/>
              </w:rPr>
              <w:t>2026</w:t>
            </w:r>
          </w:p>
        </w:tc>
        <w:tc>
          <w:tcPr>
            <w:tcW w:w="1147" w:type="dxa"/>
            <w:noWrap/>
            <w:hideMark/>
          </w:tcPr>
          <w:p w14:paraId="245F9442" w14:textId="77777777" w:rsidR="00CA6467" w:rsidRPr="00AB215D" w:rsidRDefault="00CA6467" w:rsidP="001A376E">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20"/>
                <w:szCs w:val="20"/>
              </w:rPr>
            </w:pPr>
            <w:r w:rsidRPr="00AB215D">
              <w:rPr>
                <w:rFonts w:eastAsia="Times New Roman" w:cs="Times New Roman"/>
                <w:bCs w:val="0"/>
                <w:color w:val="FFFFFF"/>
                <w:sz w:val="20"/>
                <w:szCs w:val="20"/>
              </w:rPr>
              <w:t>2031</w:t>
            </w:r>
          </w:p>
        </w:tc>
      </w:tr>
      <w:tr w:rsidR="00CA6467" w:rsidRPr="00AB215D" w14:paraId="7FACF2B8" w14:textId="77777777" w:rsidTr="005713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9" w:type="dxa"/>
            <w:noWrap/>
            <w:hideMark/>
          </w:tcPr>
          <w:p w14:paraId="590EF72C" w14:textId="77777777" w:rsidR="00CA6467" w:rsidRPr="00AB215D" w:rsidRDefault="00CA6467" w:rsidP="001A376E">
            <w:pPr>
              <w:rPr>
                <w:rFonts w:eastAsia="Times New Roman" w:cs="Times New Roman"/>
                <w:color w:val="000000"/>
                <w:sz w:val="20"/>
                <w:szCs w:val="20"/>
              </w:rPr>
            </w:pPr>
            <w:r w:rsidRPr="00AB215D">
              <w:rPr>
                <w:rFonts w:eastAsia="Times New Roman" w:cs="Times New Roman"/>
                <w:color w:val="000000"/>
                <w:sz w:val="20"/>
                <w:szCs w:val="20"/>
              </w:rPr>
              <w:t>0-14 Years</w:t>
            </w:r>
          </w:p>
        </w:tc>
        <w:tc>
          <w:tcPr>
            <w:tcW w:w="1481" w:type="dxa"/>
            <w:noWrap/>
            <w:hideMark/>
          </w:tcPr>
          <w:p w14:paraId="2E2D391E"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1,036</w:t>
            </w:r>
          </w:p>
        </w:tc>
        <w:tc>
          <w:tcPr>
            <w:tcW w:w="1481" w:type="dxa"/>
            <w:noWrap/>
            <w:hideMark/>
          </w:tcPr>
          <w:p w14:paraId="17F4EE1F"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1,072</w:t>
            </w:r>
          </w:p>
        </w:tc>
        <w:tc>
          <w:tcPr>
            <w:tcW w:w="1147" w:type="dxa"/>
            <w:noWrap/>
            <w:hideMark/>
          </w:tcPr>
          <w:p w14:paraId="2A5FD3E9"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1,035</w:t>
            </w:r>
          </w:p>
        </w:tc>
        <w:tc>
          <w:tcPr>
            <w:tcW w:w="1147" w:type="dxa"/>
            <w:noWrap/>
            <w:hideMark/>
          </w:tcPr>
          <w:p w14:paraId="39515169"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983</w:t>
            </w:r>
          </w:p>
        </w:tc>
      </w:tr>
      <w:tr w:rsidR="00CA6467" w:rsidRPr="00AB215D" w14:paraId="451DE894" w14:textId="77777777" w:rsidTr="005713E3">
        <w:trPr>
          <w:trHeight w:val="20"/>
        </w:trPr>
        <w:tc>
          <w:tcPr>
            <w:cnfStyle w:val="001000000000" w:firstRow="0" w:lastRow="0" w:firstColumn="1" w:lastColumn="0" w:oddVBand="0" w:evenVBand="0" w:oddHBand="0" w:evenHBand="0" w:firstRowFirstColumn="0" w:firstRowLastColumn="0" w:lastRowFirstColumn="0" w:lastRowLastColumn="0"/>
            <w:tcW w:w="1959" w:type="dxa"/>
            <w:noWrap/>
            <w:hideMark/>
          </w:tcPr>
          <w:p w14:paraId="28E88B49" w14:textId="77777777" w:rsidR="00CA6467" w:rsidRPr="00AB215D" w:rsidRDefault="00CA6467" w:rsidP="001A376E">
            <w:pPr>
              <w:rPr>
                <w:rFonts w:eastAsia="Times New Roman" w:cs="Times New Roman"/>
                <w:color w:val="000000"/>
                <w:sz w:val="20"/>
                <w:szCs w:val="20"/>
              </w:rPr>
            </w:pPr>
            <w:r w:rsidRPr="00AB215D">
              <w:rPr>
                <w:rFonts w:eastAsia="Times New Roman" w:cs="Times New Roman"/>
                <w:color w:val="000000"/>
                <w:sz w:val="20"/>
                <w:szCs w:val="20"/>
              </w:rPr>
              <w:t>15-24 Years</w:t>
            </w:r>
          </w:p>
        </w:tc>
        <w:tc>
          <w:tcPr>
            <w:tcW w:w="1481" w:type="dxa"/>
            <w:noWrap/>
            <w:hideMark/>
          </w:tcPr>
          <w:p w14:paraId="7C342E88"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559</w:t>
            </w:r>
          </w:p>
        </w:tc>
        <w:tc>
          <w:tcPr>
            <w:tcW w:w="1481" w:type="dxa"/>
            <w:noWrap/>
            <w:hideMark/>
          </w:tcPr>
          <w:p w14:paraId="78EA0E64"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592</w:t>
            </w:r>
          </w:p>
        </w:tc>
        <w:tc>
          <w:tcPr>
            <w:tcW w:w="1147" w:type="dxa"/>
            <w:noWrap/>
            <w:hideMark/>
          </w:tcPr>
          <w:p w14:paraId="4636FD40"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671</w:t>
            </w:r>
          </w:p>
        </w:tc>
        <w:tc>
          <w:tcPr>
            <w:tcW w:w="1147" w:type="dxa"/>
            <w:noWrap/>
            <w:hideMark/>
          </w:tcPr>
          <w:p w14:paraId="469E61E2"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745</w:t>
            </w:r>
          </w:p>
        </w:tc>
      </w:tr>
      <w:tr w:rsidR="00CA6467" w:rsidRPr="00AB215D" w14:paraId="3B98EA4C" w14:textId="77777777" w:rsidTr="005713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9" w:type="dxa"/>
            <w:noWrap/>
            <w:hideMark/>
          </w:tcPr>
          <w:p w14:paraId="27704890" w14:textId="77777777" w:rsidR="00CA6467" w:rsidRPr="00AB215D" w:rsidRDefault="00CA6467" w:rsidP="001A376E">
            <w:pPr>
              <w:rPr>
                <w:rFonts w:eastAsia="Times New Roman" w:cs="Times New Roman"/>
                <w:color w:val="000000"/>
                <w:sz w:val="20"/>
                <w:szCs w:val="20"/>
              </w:rPr>
            </w:pPr>
            <w:r w:rsidRPr="00AB215D">
              <w:rPr>
                <w:rFonts w:eastAsia="Times New Roman" w:cs="Times New Roman"/>
                <w:color w:val="000000"/>
                <w:sz w:val="20"/>
                <w:szCs w:val="20"/>
              </w:rPr>
              <w:t>25-39 Years</w:t>
            </w:r>
          </w:p>
        </w:tc>
        <w:tc>
          <w:tcPr>
            <w:tcW w:w="1481" w:type="dxa"/>
            <w:noWrap/>
            <w:hideMark/>
          </w:tcPr>
          <w:p w14:paraId="199C8B24"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1,044</w:t>
            </w:r>
          </w:p>
        </w:tc>
        <w:tc>
          <w:tcPr>
            <w:tcW w:w="1481" w:type="dxa"/>
            <w:noWrap/>
            <w:hideMark/>
          </w:tcPr>
          <w:p w14:paraId="25929ADA"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951</w:t>
            </w:r>
          </w:p>
        </w:tc>
        <w:tc>
          <w:tcPr>
            <w:tcW w:w="1147" w:type="dxa"/>
            <w:noWrap/>
            <w:hideMark/>
          </w:tcPr>
          <w:p w14:paraId="044B6E92"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892</w:t>
            </w:r>
          </w:p>
        </w:tc>
        <w:tc>
          <w:tcPr>
            <w:tcW w:w="1147" w:type="dxa"/>
            <w:noWrap/>
            <w:hideMark/>
          </w:tcPr>
          <w:p w14:paraId="5CDD948E"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919</w:t>
            </w:r>
          </w:p>
        </w:tc>
      </w:tr>
      <w:tr w:rsidR="00CA6467" w:rsidRPr="00AB215D" w14:paraId="0CAE2A15" w14:textId="77777777" w:rsidTr="005713E3">
        <w:trPr>
          <w:trHeight w:val="20"/>
        </w:trPr>
        <w:tc>
          <w:tcPr>
            <w:cnfStyle w:val="001000000000" w:firstRow="0" w:lastRow="0" w:firstColumn="1" w:lastColumn="0" w:oddVBand="0" w:evenVBand="0" w:oddHBand="0" w:evenHBand="0" w:firstRowFirstColumn="0" w:firstRowLastColumn="0" w:lastRowFirstColumn="0" w:lastRowLastColumn="0"/>
            <w:tcW w:w="1959" w:type="dxa"/>
            <w:noWrap/>
            <w:hideMark/>
          </w:tcPr>
          <w:p w14:paraId="74612FDC" w14:textId="77777777" w:rsidR="00CA6467" w:rsidRPr="00AB215D" w:rsidRDefault="00CA6467" w:rsidP="001A376E">
            <w:pPr>
              <w:rPr>
                <w:rFonts w:eastAsia="Times New Roman" w:cs="Times New Roman"/>
                <w:color w:val="000000"/>
                <w:sz w:val="20"/>
                <w:szCs w:val="20"/>
              </w:rPr>
            </w:pPr>
            <w:r w:rsidRPr="00AB215D">
              <w:rPr>
                <w:rFonts w:eastAsia="Times New Roman" w:cs="Times New Roman"/>
                <w:color w:val="000000"/>
                <w:sz w:val="20"/>
                <w:szCs w:val="20"/>
              </w:rPr>
              <w:t>40-59 Years</w:t>
            </w:r>
          </w:p>
        </w:tc>
        <w:tc>
          <w:tcPr>
            <w:tcW w:w="1481" w:type="dxa"/>
            <w:noWrap/>
            <w:hideMark/>
          </w:tcPr>
          <w:p w14:paraId="4F760B59"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1,259</w:t>
            </w:r>
          </w:p>
        </w:tc>
        <w:tc>
          <w:tcPr>
            <w:tcW w:w="1481" w:type="dxa"/>
            <w:noWrap/>
            <w:hideMark/>
          </w:tcPr>
          <w:p w14:paraId="7E9E3C0E"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1,388</w:t>
            </w:r>
          </w:p>
        </w:tc>
        <w:tc>
          <w:tcPr>
            <w:tcW w:w="1147" w:type="dxa"/>
            <w:noWrap/>
            <w:hideMark/>
          </w:tcPr>
          <w:p w14:paraId="1772E66A"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1,470</w:t>
            </w:r>
          </w:p>
        </w:tc>
        <w:tc>
          <w:tcPr>
            <w:tcW w:w="1147" w:type="dxa"/>
            <w:noWrap/>
            <w:hideMark/>
          </w:tcPr>
          <w:p w14:paraId="2DFE37C4"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1,471</w:t>
            </w:r>
          </w:p>
        </w:tc>
      </w:tr>
      <w:tr w:rsidR="00CA6467" w:rsidRPr="00AB215D" w14:paraId="4F0E38C7" w14:textId="77777777" w:rsidTr="005713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9" w:type="dxa"/>
            <w:noWrap/>
            <w:hideMark/>
          </w:tcPr>
          <w:p w14:paraId="10910CDF" w14:textId="77777777" w:rsidR="00CA6467" w:rsidRPr="00AB215D" w:rsidRDefault="00CA6467" w:rsidP="001A376E">
            <w:pPr>
              <w:rPr>
                <w:rFonts w:eastAsia="Times New Roman" w:cs="Times New Roman"/>
                <w:color w:val="000000"/>
                <w:sz w:val="20"/>
                <w:szCs w:val="20"/>
              </w:rPr>
            </w:pPr>
            <w:r w:rsidRPr="00AB215D">
              <w:rPr>
                <w:rFonts w:eastAsia="Times New Roman" w:cs="Times New Roman"/>
                <w:color w:val="000000"/>
                <w:sz w:val="20"/>
                <w:szCs w:val="20"/>
              </w:rPr>
              <w:t>60-74 Years</w:t>
            </w:r>
          </w:p>
        </w:tc>
        <w:tc>
          <w:tcPr>
            <w:tcW w:w="1481" w:type="dxa"/>
            <w:noWrap/>
            <w:hideMark/>
          </w:tcPr>
          <w:p w14:paraId="27A7850E"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606</w:t>
            </w:r>
          </w:p>
        </w:tc>
        <w:tc>
          <w:tcPr>
            <w:tcW w:w="1481" w:type="dxa"/>
            <w:noWrap/>
            <w:hideMark/>
          </w:tcPr>
          <w:p w14:paraId="60A82CD8"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685</w:t>
            </w:r>
          </w:p>
        </w:tc>
        <w:tc>
          <w:tcPr>
            <w:tcW w:w="1147" w:type="dxa"/>
            <w:noWrap/>
            <w:hideMark/>
          </w:tcPr>
          <w:p w14:paraId="2ECD549A"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761</w:t>
            </w:r>
          </w:p>
        </w:tc>
        <w:tc>
          <w:tcPr>
            <w:tcW w:w="1147" w:type="dxa"/>
            <w:noWrap/>
            <w:hideMark/>
          </w:tcPr>
          <w:p w14:paraId="163374A2" w14:textId="77777777" w:rsidR="00CA6467" w:rsidRPr="00AB215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844</w:t>
            </w:r>
          </w:p>
        </w:tc>
      </w:tr>
      <w:tr w:rsidR="00CA6467" w:rsidRPr="00AB215D" w14:paraId="4CB1D561" w14:textId="77777777" w:rsidTr="005713E3">
        <w:trPr>
          <w:trHeight w:val="20"/>
        </w:trPr>
        <w:tc>
          <w:tcPr>
            <w:cnfStyle w:val="001000000000" w:firstRow="0" w:lastRow="0" w:firstColumn="1" w:lastColumn="0" w:oddVBand="0" w:evenVBand="0" w:oddHBand="0" w:evenHBand="0" w:firstRowFirstColumn="0" w:firstRowLastColumn="0" w:lastRowFirstColumn="0" w:lastRowLastColumn="0"/>
            <w:tcW w:w="1959" w:type="dxa"/>
            <w:noWrap/>
            <w:hideMark/>
          </w:tcPr>
          <w:p w14:paraId="6FA50088" w14:textId="77777777" w:rsidR="00CA6467" w:rsidRPr="00AB215D" w:rsidRDefault="00CA6467" w:rsidP="001A376E">
            <w:pPr>
              <w:rPr>
                <w:rFonts w:eastAsia="Times New Roman" w:cs="Times New Roman"/>
                <w:color w:val="000000"/>
                <w:sz w:val="20"/>
                <w:szCs w:val="20"/>
              </w:rPr>
            </w:pPr>
            <w:r w:rsidRPr="00AB215D">
              <w:rPr>
                <w:rFonts w:eastAsia="Times New Roman" w:cs="Times New Roman"/>
                <w:color w:val="000000"/>
                <w:sz w:val="20"/>
                <w:szCs w:val="20"/>
              </w:rPr>
              <w:t>75+ Years</w:t>
            </w:r>
          </w:p>
        </w:tc>
        <w:tc>
          <w:tcPr>
            <w:tcW w:w="1481" w:type="dxa"/>
            <w:noWrap/>
            <w:hideMark/>
          </w:tcPr>
          <w:p w14:paraId="2812643C"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265</w:t>
            </w:r>
          </w:p>
        </w:tc>
        <w:tc>
          <w:tcPr>
            <w:tcW w:w="1481" w:type="dxa"/>
            <w:noWrap/>
            <w:hideMark/>
          </w:tcPr>
          <w:p w14:paraId="649C0AF7"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322</w:t>
            </w:r>
          </w:p>
        </w:tc>
        <w:tc>
          <w:tcPr>
            <w:tcW w:w="1147" w:type="dxa"/>
            <w:noWrap/>
            <w:hideMark/>
          </w:tcPr>
          <w:p w14:paraId="515D9646"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400</w:t>
            </w:r>
          </w:p>
        </w:tc>
        <w:tc>
          <w:tcPr>
            <w:tcW w:w="1147" w:type="dxa"/>
            <w:noWrap/>
            <w:hideMark/>
          </w:tcPr>
          <w:p w14:paraId="0E5ACE87" w14:textId="77777777" w:rsidR="00CA6467" w:rsidRPr="00AB215D" w:rsidRDefault="00CA6467"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481</w:t>
            </w:r>
          </w:p>
        </w:tc>
      </w:tr>
      <w:tr w:rsidR="00CA6467" w:rsidRPr="008E1B3D" w14:paraId="497795E1" w14:textId="77777777" w:rsidTr="005713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9" w:type="dxa"/>
            <w:noWrap/>
            <w:hideMark/>
          </w:tcPr>
          <w:p w14:paraId="5D53B6E3" w14:textId="56C966C4" w:rsidR="00CA6467" w:rsidRPr="008E1B3D" w:rsidRDefault="008E1B3D" w:rsidP="001A376E">
            <w:pPr>
              <w:rPr>
                <w:rFonts w:eastAsia="Times New Roman" w:cs="Times New Roman"/>
                <w:b/>
                <w:color w:val="000000"/>
                <w:sz w:val="20"/>
                <w:szCs w:val="20"/>
              </w:rPr>
            </w:pPr>
            <w:r w:rsidRPr="008E1B3D">
              <w:rPr>
                <w:rFonts w:eastAsia="Times New Roman" w:cs="Times New Roman"/>
                <w:b/>
                <w:color w:val="000000"/>
                <w:sz w:val="20"/>
                <w:szCs w:val="20"/>
              </w:rPr>
              <w:t>Total</w:t>
            </w:r>
            <w:r w:rsidR="00CA6467" w:rsidRPr="008E1B3D">
              <w:rPr>
                <w:rFonts w:eastAsia="Times New Roman" w:cs="Times New Roman"/>
                <w:b/>
                <w:color w:val="000000"/>
                <w:sz w:val="20"/>
                <w:szCs w:val="20"/>
              </w:rPr>
              <w:t xml:space="preserve"> Population</w:t>
            </w:r>
          </w:p>
        </w:tc>
        <w:tc>
          <w:tcPr>
            <w:tcW w:w="1481" w:type="dxa"/>
            <w:noWrap/>
            <w:hideMark/>
          </w:tcPr>
          <w:p w14:paraId="6F9C1BB2" w14:textId="77777777" w:rsidR="00CA6467" w:rsidRPr="008E1B3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8E1B3D">
              <w:rPr>
                <w:rFonts w:eastAsia="Times New Roman" w:cs="Times New Roman"/>
                <w:b/>
                <w:color w:val="000000"/>
                <w:sz w:val="20"/>
                <w:szCs w:val="20"/>
              </w:rPr>
              <w:t>4,768</w:t>
            </w:r>
          </w:p>
        </w:tc>
        <w:tc>
          <w:tcPr>
            <w:tcW w:w="1481" w:type="dxa"/>
            <w:noWrap/>
            <w:hideMark/>
          </w:tcPr>
          <w:p w14:paraId="52DF77D2" w14:textId="77777777" w:rsidR="00CA6467" w:rsidRPr="008E1B3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8E1B3D">
              <w:rPr>
                <w:rFonts w:eastAsia="Times New Roman" w:cs="Times New Roman"/>
                <w:b/>
                <w:color w:val="000000"/>
                <w:sz w:val="20"/>
                <w:szCs w:val="20"/>
              </w:rPr>
              <w:t>5,010</w:t>
            </w:r>
          </w:p>
        </w:tc>
        <w:tc>
          <w:tcPr>
            <w:tcW w:w="1147" w:type="dxa"/>
            <w:noWrap/>
            <w:hideMark/>
          </w:tcPr>
          <w:p w14:paraId="62048C61" w14:textId="77777777" w:rsidR="00CA6467" w:rsidRPr="008E1B3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8E1B3D">
              <w:rPr>
                <w:rFonts w:eastAsia="Times New Roman" w:cs="Times New Roman"/>
                <w:b/>
                <w:color w:val="000000"/>
                <w:sz w:val="20"/>
                <w:szCs w:val="20"/>
              </w:rPr>
              <w:t>5,229</w:t>
            </w:r>
          </w:p>
        </w:tc>
        <w:tc>
          <w:tcPr>
            <w:tcW w:w="1147" w:type="dxa"/>
            <w:noWrap/>
            <w:hideMark/>
          </w:tcPr>
          <w:p w14:paraId="638A3DF4" w14:textId="77777777" w:rsidR="00CA6467" w:rsidRPr="008E1B3D" w:rsidRDefault="00CA6467"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8E1B3D">
              <w:rPr>
                <w:rFonts w:eastAsia="Times New Roman" w:cs="Times New Roman"/>
                <w:b/>
                <w:color w:val="000000"/>
                <w:sz w:val="20"/>
                <w:szCs w:val="20"/>
              </w:rPr>
              <w:t>5,442</w:t>
            </w:r>
          </w:p>
        </w:tc>
      </w:tr>
    </w:tbl>
    <w:p w14:paraId="0BBDA338" w14:textId="0C0D074F" w:rsidR="00CA6467" w:rsidRPr="00A83D1C" w:rsidRDefault="00CA6467" w:rsidP="00CA6467">
      <w:pPr>
        <w:rPr>
          <w:sz w:val="18"/>
          <w:szCs w:val="18"/>
        </w:rPr>
      </w:pPr>
      <w:r w:rsidRPr="00A83D1C">
        <w:rPr>
          <w:sz w:val="18"/>
          <w:szCs w:val="18"/>
        </w:rPr>
        <w:t xml:space="preserve">Source: DKM </w:t>
      </w:r>
      <w:r w:rsidR="008E1B3D">
        <w:rPr>
          <w:sz w:val="18"/>
          <w:szCs w:val="18"/>
        </w:rPr>
        <w:t>Demographic</w:t>
      </w:r>
      <w:r w:rsidRPr="00A83D1C">
        <w:rPr>
          <w:sz w:val="18"/>
          <w:szCs w:val="18"/>
        </w:rPr>
        <w:t xml:space="preserve"> Model</w:t>
      </w:r>
      <w:r w:rsidR="008E1B3D">
        <w:rPr>
          <w:sz w:val="18"/>
          <w:szCs w:val="18"/>
        </w:rPr>
        <w:t>.</w:t>
      </w:r>
    </w:p>
    <w:p w14:paraId="052B63F4" w14:textId="77777777" w:rsidR="00CA6467" w:rsidRPr="00AB215D" w:rsidRDefault="00CA6467" w:rsidP="00CA6467">
      <w:pPr>
        <w:rPr>
          <w:sz w:val="20"/>
          <w:szCs w:val="20"/>
        </w:rPr>
      </w:pPr>
    </w:p>
    <w:p w14:paraId="6CA63B7D" w14:textId="7E49B7A4" w:rsidR="00CA6467" w:rsidRDefault="00CA6467" w:rsidP="00CA6467">
      <w:pPr>
        <w:rPr>
          <w:sz w:val="20"/>
          <w:szCs w:val="20"/>
        </w:rPr>
      </w:pPr>
      <w:r w:rsidRPr="00AB215D">
        <w:rPr>
          <w:sz w:val="20"/>
          <w:szCs w:val="20"/>
        </w:rPr>
        <w:t xml:space="preserve">As can be observed, the population is expected to age: within four years (in 2021) there will be an additional 137,000 individuals aged 60 or over. Table </w:t>
      </w:r>
      <w:r w:rsidR="005D76FB">
        <w:rPr>
          <w:sz w:val="20"/>
          <w:szCs w:val="20"/>
        </w:rPr>
        <w:t>2.2</w:t>
      </w:r>
      <w:r w:rsidRPr="00AB215D">
        <w:rPr>
          <w:sz w:val="20"/>
          <w:szCs w:val="20"/>
        </w:rPr>
        <w:t xml:space="preserve"> shows the projected inter-censal growth rates across age cohorts.</w:t>
      </w:r>
    </w:p>
    <w:p w14:paraId="67E1C733" w14:textId="77777777" w:rsidR="00A83D1C" w:rsidRPr="00AB215D" w:rsidRDefault="00A83D1C" w:rsidP="00CA6467">
      <w:pPr>
        <w:rPr>
          <w:sz w:val="20"/>
          <w:szCs w:val="20"/>
        </w:rPr>
      </w:pPr>
    </w:p>
    <w:p w14:paraId="40451EED" w14:textId="77777777" w:rsidR="00CA6467" w:rsidRPr="00AB215D" w:rsidRDefault="00CA6467" w:rsidP="008E47D7">
      <w:pPr>
        <w:pStyle w:val="DKMTable"/>
        <w:keepNext/>
        <w:spacing w:before="0" w:after="0"/>
        <w:rPr>
          <w:sz w:val="20"/>
          <w:szCs w:val="20"/>
        </w:rPr>
      </w:pPr>
      <w:bookmarkStart w:id="19" w:name="_Toc478116716"/>
      <w:r w:rsidRPr="00AB215D">
        <w:rPr>
          <w:sz w:val="20"/>
          <w:szCs w:val="20"/>
        </w:rPr>
        <w:t>Population Growth by Age Cohort, Census Year 2016-2031 (%)</w:t>
      </w:r>
      <w:bookmarkEnd w:id="19"/>
    </w:p>
    <w:tbl>
      <w:tblPr>
        <w:tblStyle w:val="ColorfulList-Accent1"/>
        <w:tblW w:w="7264" w:type="dxa"/>
        <w:tblLook w:val="04A0" w:firstRow="1" w:lastRow="0" w:firstColumn="1" w:lastColumn="0" w:noHBand="0" w:noVBand="1"/>
      </w:tblPr>
      <w:tblGrid>
        <w:gridCol w:w="2422"/>
        <w:gridCol w:w="1614"/>
        <w:gridCol w:w="1614"/>
        <w:gridCol w:w="1614"/>
      </w:tblGrid>
      <w:tr w:rsidR="00CA6467" w:rsidRPr="00AB215D" w14:paraId="64B5C651" w14:textId="77777777" w:rsidTr="005713E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36C02EF5" w14:textId="77777777" w:rsidR="00CA6467" w:rsidRPr="00AB215D" w:rsidRDefault="00CA6467" w:rsidP="005713E3">
            <w:pPr>
              <w:spacing w:line="240" w:lineRule="auto"/>
              <w:rPr>
                <w:rFonts w:eastAsia="Times New Roman" w:cs="Times New Roman"/>
                <w:bCs w:val="0"/>
                <w:color w:val="FFFFFF"/>
                <w:sz w:val="20"/>
                <w:szCs w:val="20"/>
              </w:rPr>
            </w:pPr>
            <w:r w:rsidRPr="00AB215D">
              <w:rPr>
                <w:rFonts w:eastAsia="Times New Roman" w:cs="Times New Roman"/>
                <w:bCs w:val="0"/>
                <w:color w:val="FFFFFF"/>
                <w:sz w:val="20"/>
                <w:szCs w:val="20"/>
              </w:rPr>
              <w:t>Age Cohort</w:t>
            </w:r>
          </w:p>
        </w:tc>
        <w:tc>
          <w:tcPr>
            <w:tcW w:w="1614" w:type="dxa"/>
            <w:noWrap/>
            <w:hideMark/>
          </w:tcPr>
          <w:p w14:paraId="05D64413" w14:textId="77777777" w:rsidR="00CA6467" w:rsidRPr="00AB215D" w:rsidRDefault="00CA6467" w:rsidP="005713E3">
            <w:pPr>
              <w:spacing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20"/>
                <w:szCs w:val="20"/>
              </w:rPr>
            </w:pPr>
            <w:r w:rsidRPr="00AB215D">
              <w:rPr>
                <w:rFonts w:eastAsia="Times New Roman" w:cs="Times New Roman"/>
                <w:bCs w:val="0"/>
                <w:color w:val="FFFFFF"/>
                <w:sz w:val="20"/>
                <w:szCs w:val="20"/>
              </w:rPr>
              <w:t>2016-2021</w:t>
            </w:r>
          </w:p>
        </w:tc>
        <w:tc>
          <w:tcPr>
            <w:tcW w:w="1614" w:type="dxa"/>
            <w:noWrap/>
            <w:hideMark/>
          </w:tcPr>
          <w:p w14:paraId="07FE42EE" w14:textId="77777777" w:rsidR="00CA6467" w:rsidRPr="00AB215D" w:rsidRDefault="00CA6467" w:rsidP="005713E3">
            <w:pPr>
              <w:spacing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20"/>
                <w:szCs w:val="20"/>
              </w:rPr>
            </w:pPr>
            <w:r w:rsidRPr="00AB215D">
              <w:rPr>
                <w:rFonts w:eastAsia="Times New Roman" w:cs="Times New Roman"/>
                <w:bCs w:val="0"/>
                <w:color w:val="FFFFFF"/>
                <w:sz w:val="20"/>
                <w:szCs w:val="20"/>
              </w:rPr>
              <w:t>2021-2026</w:t>
            </w:r>
          </w:p>
        </w:tc>
        <w:tc>
          <w:tcPr>
            <w:tcW w:w="1614" w:type="dxa"/>
            <w:noWrap/>
            <w:hideMark/>
          </w:tcPr>
          <w:p w14:paraId="405A5683" w14:textId="77777777" w:rsidR="00CA6467" w:rsidRPr="00AB215D" w:rsidRDefault="00CA6467" w:rsidP="005713E3">
            <w:pPr>
              <w:spacing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20"/>
                <w:szCs w:val="20"/>
              </w:rPr>
            </w:pPr>
            <w:r w:rsidRPr="00AB215D">
              <w:rPr>
                <w:rFonts w:eastAsia="Times New Roman" w:cs="Times New Roman"/>
                <w:bCs w:val="0"/>
                <w:color w:val="FFFFFF"/>
                <w:sz w:val="20"/>
                <w:szCs w:val="20"/>
              </w:rPr>
              <w:t>2026-2031</w:t>
            </w:r>
          </w:p>
        </w:tc>
      </w:tr>
      <w:tr w:rsidR="00CA6467" w:rsidRPr="00AB215D" w14:paraId="293E5BD3" w14:textId="77777777" w:rsidTr="005713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2C85EC64" w14:textId="77777777" w:rsidR="00CA6467" w:rsidRPr="00AB215D" w:rsidRDefault="00CA6467" w:rsidP="005713E3">
            <w:pPr>
              <w:spacing w:line="240" w:lineRule="auto"/>
              <w:rPr>
                <w:rFonts w:eastAsia="Times New Roman" w:cs="Times New Roman"/>
                <w:color w:val="000000"/>
                <w:sz w:val="20"/>
                <w:szCs w:val="20"/>
              </w:rPr>
            </w:pPr>
            <w:r w:rsidRPr="00AB215D">
              <w:rPr>
                <w:rFonts w:eastAsia="Times New Roman" w:cs="Times New Roman"/>
                <w:color w:val="000000"/>
                <w:sz w:val="20"/>
                <w:szCs w:val="20"/>
              </w:rPr>
              <w:t>0-14 Years</w:t>
            </w:r>
          </w:p>
        </w:tc>
        <w:tc>
          <w:tcPr>
            <w:tcW w:w="1614" w:type="dxa"/>
            <w:noWrap/>
            <w:hideMark/>
          </w:tcPr>
          <w:p w14:paraId="28CA7F70" w14:textId="77777777" w:rsidR="00CA6467" w:rsidRPr="00AB215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3</w:t>
            </w:r>
          </w:p>
        </w:tc>
        <w:tc>
          <w:tcPr>
            <w:tcW w:w="1614" w:type="dxa"/>
            <w:noWrap/>
            <w:hideMark/>
          </w:tcPr>
          <w:p w14:paraId="7B87AD9F" w14:textId="77777777" w:rsidR="00CA6467" w:rsidRPr="00AB215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-3</w:t>
            </w:r>
          </w:p>
        </w:tc>
        <w:tc>
          <w:tcPr>
            <w:tcW w:w="1614" w:type="dxa"/>
            <w:noWrap/>
            <w:hideMark/>
          </w:tcPr>
          <w:p w14:paraId="1F1CA6F9" w14:textId="77777777" w:rsidR="00CA6467" w:rsidRPr="00AB215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-5</w:t>
            </w:r>
          </w:p>
        </w:tc>
      </w:tr>
      <w:tr w:rsidR="00CA6467" w:rsidRPr="00AB215D" w14:paraId="0465D2EC" w14:textId="77777777" w:rsidTr="005713E3">
        <w:trPr>
          <w:trHeight w:val="2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58557E6D" w14:textId="77777777" w:rsidR="00CA6467" w:rsidRPr="00AB215D" w:rsidRDefault="00CA6467" w:rsidP="005713E3">
            <w:pPr>
              <w:spacing w:line="240" w:lineRule="auto"/>
              <w:rPr>
                <w:rFonts w:eastAsia="Times New Roman" w:cs="Times New Roman"/>
                <w:color w:val="000000"/>
                <w:sz w:val="20"/>
                <w:szCs w:val="20"/>
              </w:rPr>
            </w:pPr>
            <w:r w:rsidRPr="00AB215D">
              <w:rPr>
                <w:rFonts w:eastAsia="Times New Roman" w:cs="Times New Roman"/>
                <w:color w:val="000000"/>
                <w:sz w:val="20"/>
                <w:szCs w:val="20"/>
              </w:rPr>
              <w:t>15-24 Years</w:t>
            </w:r>
          </w:p>
        </w:tc>
        <w:tc>
          <w:tcPr>
            <w:tcW w:w="1614" w:type="dxa"/>
            <w:noWrap/>
            <w:hideMark/>
          </w:tcPr>
          <w:p w14:paraId="62DFEE18" w14:textId="77777777" w:rsidR="00CA6467" w:rsidRPr="00AB215D" w:rsidRDefault="00CA6467" w:rsidP="005713E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6</w:t>
            </w:r>
          </w:p>
        </w:tc>
        <w:tc>
          <w:tcPr>
            <w:tcW w:w="1614" w:type="dxa"/>
            <w:noWrap/>
            <w:hideMark/>
          </w:tcPr>
          <w:p w14:paraId="43BDE809" w14:textId="77777777" w:rsidR="00CA6467" w:rsidRPr="00AB215D" w:rsidRDefault="00CA6467" w:rsidP="005713E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13</w:t>
            </w:r>
          </w:p>
        </w:tc>
        <w:tc>
          <w:tcPr>
            <w:tcW w:w="1614" w:type="dxa"/>
            <w:noWrap/>
            <w:hideMark/>
          </w:tcPr>
          <w:p w14:paraId="677B6886" w14:textId="77777777" w:rsidR="00CA6467" w:rsidRPr="00AB215D" w:rsidRDefault="00CA6467" w:rsidP="005713E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11</w:t>
            </w:r>
          </w:p>
        </w:tc>
      </w:tr>
      <w:tr w:rsidR="00CA6467" w:rsidRPr="00AB215D" w14:paraId="245AA7D4" w14:textId="77777777" w:rsidTr="005713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51594CF9" w14:textId="77777777" w:rsidR="00CA6467" w:rsidRPr="00AB215D" w:rsidRDefault="00CA6467" w:rsidP="005713E3">
            <w:pPr>
              <w:spacing w:line="240" w:lineRule="auto"/>
              <w:rPr>
                <w:rFonts w:eastAsia="Times New Roman" w:cs="Times New Roman"/>
                <w:color w:val="000000"/>
                <w:sz w:val="20"/>
                <w:szCs w:val="20"/>
              </w:rPr>
            </w:pPr>
            <w:r w:rsidRPr="00AB215D">
              <w:rPr>
                <w:rFonts w:eastAsia="Times New Roman" w:cs="Times New Roman"/>
                <w:color w:val="000000"/>
                <w:sz w:val="20"/>
                <w:szCs w:val="20"/>
              </w:rPr>
              <w:t>25-39 Years</w:t>
            </w:r>
          </w:p>
        </w:tc>
        <w:tc>
          <w:tcPr>
            <w:tcW w:w="1614" w:type="dxa"/>
            <w:noWrap/>
            <w:hideMark/>
          </w:tcPr>
          <w:p w14:paraId="69EAD0DC" w14:textId="77777777" w:rsidR="00CA6467" w:rsidRPr="00AB215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-9</w:t>
            </w:r>
          </w:p>
        </w:tc>
        <w:tc>
          <w:tcPr>
            <w:tcW w:w="1614" w:type="dxa"/>
            <w:noWrap/>
            <w:hideMark/>
          </w:tcPr>
          <w:p w14:paraId="705B710B" w14:textId="77777777" w:rsidR="00CA6467" w:rsidRPr="00AB215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-6</w:t>
            </w:r>
          </w:p>
        </w:tc>
        <w:tc>
          <w:tcPr>
            <w:tcW w:w="1614" w:type="dxa"/>
            <w:noWrap/>
            <w:hideMark/>
          </w:tcPr>
          <w:p w14:paraId="7F0CAD20" w14:textId="77777777" w:rsidR="00CA6467" w:rsidRPr="00AB215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3</w:t>
            </w:r>
          </w:p>
        </w:tc>
      </w:tr>
      <w:tr w:rsidR="00CA6467" w:rsidRPr="00AB215D" w14:paraId="490588E6" w14:textId="77777777" w:rsidTr="005713E3">
        <w:trPr>
          <w:trHeight w:val="2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44E52597" w14:textId="77777777" w:rsidR="00CA6467" w:rsidRPr="00AB215D" w:rsidRDefault="00CA6467" w:rsidP="005713E3">
            <w:pPr>
              <w:spacing w:line="240" w:lineRule="auto"/>
              <w:rPr>
                <w:rFonts w:eastAsia="Times New Roman" w:cs="Times New Roman"/>
                <w:color w:val="000000"/>
                <w:sz w:val="20"/>
                <w:szCs w:val="20"/>
              </w:rPr>
            </w:pPr>
            <w:r w:rsidRPr="00AB215D">
              <w:rPr>
                <w:rFonts w:eastAsia="Times New Roman" w:cs="Times New Roman"/>
                <w:color w:val="000000"/>
                <w:sz w:val="20"/>
                <w:szCs w:val="20"/>
              </w:rPr>
              <w:t>40-59 Years</w:t>
            </w:r>
          </w:p>
        </w:tc>
        <w:tc>
          <w:tcPr>
            <w:tcW w:w="1614" w:type="dxa"/>
            <w:noWrap/>
            <w:hideMark/>
          </w:tcPr>
          <w:p w14:paraId="25DFE6D3" w14:textId="77777777" w:rsidR="00CA6467" w:rsidRPr="00AB215D" w:rsidRDefault="00CA6467" w:rsidP="005713E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10</w:t>
            </w:r>
          </w:p>
        </w:tc>
        <w:tc>
          <w:tcPr>
            <w:tcW w:w="1614" w:type="dxa"/>
            <w:noWrap/>
            <w:hideMark/>
          </w:tcPr>
          <w:p w14:paraId="19A705BF" w14:textId="77777777" w:rsidR="00CA6467" w:rsidRPr="00AB215D" w:rsidRDefault="00CA6467" w:rsidP="005713E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6</w:t>
            </w:r>
          </w:p>
        </w:tc>
        <w:tc>
          <w:tcPr>
            <w:tcW w:w="1614" w:type="dxa"/>
            <w:noWrap/>
            <w:hideMark/>
          </w:tcPr>
          <w:p w14:paraId="379422BD" w14:textId="77777777" w:rsidR="00CA6467" w:rsidRPr="00AB215D" w:rsidRDefault="00CA6467" w:rsidP="005713E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0</w:t>
            </w:r>
          </w:p>
        </w:tc>
      </w:tr>
      <w:tr w:rsidR="00CA6467" w:rsidRPr="00AB215D" w14:paraId="6C4E4066" w14:textId="77777777" w:rsidTr="005713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7461AA08" w14:textId="77777777" w:rsidR="00CA6467" w:rsidRPr="00AB215D" w:rsidRDefault="00CA6467" w:rsidP="005713E3">
            <w:pPr>
              <w:spacing w:line="240" w:lineRule="auto"/>
              <w:rPr>
                <w:rFonts w:eastAsia="Times New Roman" w:cs="Times New Roman"/>
                <w:color w:val="000000"/>
                <w:sz w:val="20"/>
                <w:szCs w:val="20"/>
              </w:rPr>
            </w:pPr>
            <w:r w:rsidRPr="00AB215D">
              <w:rPr>
                <w:rFonts w:eastAsia="Times New Roman" w:cs="Times New Roman"/>
                <w:color w:val="000000"/>
                <w:sz w:val="20"/>
                <w:szCs w:val="20"/>
              </w:rPr>
              <w:t>60-74 Years</w:t>
            </w:r>
          </w:p>
        </w:tc>
        <w:tc>
          <w:tcPr>
            <w:tcW w:w="1614" w:type="dxa"/>
            <w:noWrap/>
            <w:hideMark/>
          </w:tcPr>
          <w:p w14:paraId="61C4E3E0" w14:textId="77777777" w:rsidR="00CA6467" w:rsidRPr="00AB215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13</w:t>
            </w:r>
          </w:p>
        </w:tc>
        <w:tc>
          <w:tcPr>
            <w:tcW w:w="1614" w:type="dxa"/>
            <w:noWrap/>
            <w:hideMark/>
          </w:tcPr>
          <w:p w14:paraId="5966E2AA" w14:textId="77777777" w:rsidR="00CA6467" w:rsidRPr="00AB215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11</w:t>
            </w:r>
          </w:p>
        </w:tc>
        <w:tc>
          <w:tcPr>
            <w:tcW w:w="1614" w:type="dxa"/>
            <w:noWrap/>
            <w:hideMark/>
          </w:tcPr>
          <w:p w14:paraId="5B1268E0" w14:textId="77777777" w:rsidR="00CA6467" w:rsidRPr="00AB215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11</w:t>
            </w:r>
          </w:p>
        </w:tc>
      </w:tr>
      <w:tr w:rsidR="00CA6467" w:rsidRPr="00AB215D" w14:paraId="22A662DD" w14:textId="77777777" w:rsidTr="005713E3">
        <w:trPr>
          <w:trHeight w:val="2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11097FE5" w14:textId="77777777" w:rsidR="00CA6467" w:rsidRPr="00AB215D" w:rsidRDefault="00CA6467" w:rsidP="005713E3">
            <w:pPr>
              <w:spacing w:line="240" w:lineRule="auto"/>
              <w:rPr>
                <w:rFonts w:eastAsia="Times New Roman" w:cs="Times New Roman"/>
                <w:color w:val="000000"/>
                <w:sz w:val="20"/>
                <w:szCs w:val="20"/>
              </w:rPr>
            </w:pPr>
            <w:r w:rsidRPr="00AB215D">
              <w:rPr>
                <w:rFonts w:eastAsia="Times New Roman" w:cs="Times New Roman"/>
                <w:color w:val="000000"/>
                <w:sz w:val="20"/>
                <w:szCs w:val="20"/>
              </w:rPr>
              <w:t>75+ Years</w:t>
            </w:r>
          </w:p>
        </w:tc>
        <w:tc>
          <w:tcPr>
            <w:tcW w:w="1614" w:type="dxa"/>
            <w:noWrap/>
            <w:hideMark/>
          </w:tcPr>
          <w:p w14:paraId="347C2AF7" w14:textId="77777777" w:rsidR="00CA6467" w:rsidRPr="00AB215D" w:rsidRDefault="00CA6467" w:rsidP="005713E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21</w:t>
            </w:r>
          </w:p>
        </w:tc>
        <w:tc>
          <w:tcPr>
            <w:tcW w:w="1614" w:type="dxa"/>
            <w:noWrap/>
            <w:hideMark/>
          </w:tcPr>
          <w:p w14:paraId="1A89171B" w14:textId="77777777" w:rsidR="00CA6467" w:rsidRPr="00AB215D" w:rsidRDefault="00CA6467" w:rsidP="005713E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24</w:t>
            </w:r>
          </w:p>
        </w:tc>
        <w:tc>
          <w:tcPr>
            <w:tcW w:w="1614" w:type="dxa"/>
            <w:noWrap/>
            <w:hideMark/>
          </w:tcPr>
          <w:p w14:paraId="18482454" w14:textId="77777777" w:rsidR="00CA6467" w:rsidRPr="00AB215D" w:rsidRDefault="00CA6467" w:rsidP="005713E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B215D">
              <w:rPr>
                <w:rFonts w:eastAsia="Times New Roman" w:cs="Times New Roman"/>
                <w:color w:val="000000"/>
                <w:sz w:val="20"/>
                <w:szCs w:val="20"/>
              </w:rPr>
              <w:t>20</w:t>
            </w:r>
          </w:p>
        </w:tc>
      </w:tr>
      <w:tr w:rsidR="00CA6467" w:rsidRPr="008E1B3D" w14:paraId="61055DF1" w14:textId="77777777" w:rsidTr="005713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2" w:type="dxa"/>
            <w:noWrap/>
            <w:hideMark/>
          </w:tcPr>
          <w:p w14:paraId="642B828A" w14:textId="175D1671" w:rsidR="00CA6467" w:rsidRPr="008E1B3D" w:rsidRDefault="008E1B3D" w:rsidP="005713E3">
            <w:pPr>
              <w:spacing w:line="240" w:lineRule="auto"/>
              <w:rPr>
                <w:rFonts w:eastAsia="Times New Roman" w:cs="Times New Roman"/>
                <w:b/>
                <w:color w:val="000000"/>
                <w:sz w:val="20"/>
                <w:szCs w:val="20"/>
              </w:rPr>
            </w:pPr>
            <w:r>
              <w:rPr>
                <w:rFonts w:eastAsia="Times New Roman" w:cs="Times New Roman"/>
                <w:b/>
                <w:color w:val="000000"/>
                <w:sz w:val="20"/>
                <w:szCs w:val="20"/>
              </w:rPr>
              <w:t>Total</w:t>
            </w:r>
            <w:r w:rsidR="00CA6467" w:rsidRPr="008E1B3D">
              <w:rPr>
                <w:rFonts w:eastAsia="Times New Roman" w:cs="Times New Roman"/>
                <w:b/>
                <w:color w:val="000000"/>
                <w:sz w:val="20"/>
                <w:szCs w:val="20"/>
              </w:rPr>
              <w:t xml:space="preserve"> Population</w:t>
            </w:r>
          </w:p>
        </w:tc>
        <w:tc>
          <w:tcPr>
            <w:tcW w:w="1614" w:type="dxa"/>
            <w:noWrap/>
            <w:hideMark/>
          </w:tcPr>
          <w:p w14:paraId="743BC232" w14:textId="77777777" w:rsidR="00CA6467" w:rsidRPr="008E1B3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8E1B3D">
              <w:rPr>
                <w:rFonts w:eastAsia="Times New Roman" w:cs="Times New Roman"/>
                <w:b/>
                <w:color w:val="000000"/>
                <w:sz w:val="20"/>
                <w:szCs w:val="20"/>
              </w:rPr>
              <w:t>5</w:t>
            </w:r>
          </w:p>
        </w:tc>
        <w:tc>
          <w:tcPr>
            <w:tcW w:w="1614" w:type="dxa"/>
            <w:noWrap/>
            <w:hideMark/>
          </w:tcPr>
          <w:p w14:paraId="3395DEBE" w14:textId="77777777" w:rsidR="00CA6467" w:rsidRPr="008E1B3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8E1B3D">
              <w:rPr>
                <w:rFonts w:eastAsia="Times New Roman" w:cs="Times New Roman"/>
                <w:b/>
                <w:color w:val="000000"/>
                <w:sz w:val="20"/>
                <w:szCs w:val="20"/>
              </w:rPr>
              <w:t>4</w:t>
            </w:r>
          </w:p>
        </w:tc>
        <w:tc>
          <w:tcPr>
            <w:tcW w:w="1614" w:type="dxa"/>
            <w:noWrap/>
            <w:hideMark/>
          </w:tcPr>
          <w:p w14:paraId="178EEC21" w14:textId="77777777" w:rsidR="00CA6467" w:rsidRPr="008E1B3D" w:rsidRDefault="00CA6467" w:rsidP="005713E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8E1B3D">
              <w:rPr>
                <w:rFonts w:eastAsia="Times New Roman" w:cs="Times New Roman"/>
                <w:b/>
                <w:color w:val="000000"/>
                <w:sz w:val="20"/>
                <w:szCs w:val="20"/>
              </w:rPr>
              <w:t>4</w:t>
            </w:r>
          </w:p>
        </w:tc>
      </w:tr>
    </w:tbl>
    <w:p w14:paraId="6723D6E5" w14:textId="77777777" w:rsidR="008E1B3D" w:rsidRPr="00A83D1C" w:rsidRDefault="008E1B3D" w:rsidP="008E1B3D">
      <w:pPr>
        <w:rPr>
          <w:sz w:val="18"/>
          <w:szCs w:val="18"/>
        </w:rPr>
      </w:pPr>
      <w:r w:rsidRPr="00A83D1C">
        <w:rPr>
          <w:sz w:val="18"/>
          <w:szCs w:val="18"/>
        </w:rPr>
        <w:t xml:space="preserve">Source: DKM </w:t>
      </w:r>
      <w:r>
        <w:rPr>
          <w:sz w:val="18"/>
          <w:szCs w:val="18"/>
        </w:rPr>
        <w:t>Demographic</w:t>
      </w:r>
      <w:r w:rsidRPr="00A83D1C">
        <w:rPr>
          <w:sz w:val="18"/>
          <w:szCs w:val="18"/>
        </w:rPr>
        <w:t xml:space="preserve"> Model</w:t>
      </w:r>
      <w:r>
        <w:rPr>
          <w:sz w:val="18"/>
          <w:szCs w:val="18"/>
        </w:rPr>
        <w:t>.</w:t>
      </w:r>
    </w:p>
    <w:p w14:paraId="13F8C677" w14:textId="77777777" w:rsidR="00A70C7D" w:rsidRDefault="00A70C7D" w:rsidP="00CA6467">
      <w:pPr>
        <w:rPr>
          <w:sz w:val="20"/>
          <w:szCs w:val="20"/>
        </w:rPr>
      </w:pPr>
    </w:p>
    <w:p w14:paraId="3D7F6165" w14:textId="26D8132E" w:rsidR="00CA6467" w:rsidRPr="00AB215D" w:rsidRDefault="00CA6467" w:rsidP="008E47D7">
      <w:pPr>
        <w:rPr>
          <w:sz w:val="20"/>
          <w:szCs w:val="20"/>
        </w:rPr>
      </w:pPr>
      <w:r w:rsidRPr="00AB215D">
        <w:rPr>
          <w:sz w:val="20"/>
          <w:szCs w:val="20"/>
        </w:rPr>
        <w:t xml:space="preserve">Based on these projections, </w:t>
      </w:r>
      <w:r w:rsidR="005D76FB">
        <w:rPr>
          <w:sz w:val="20"/>
          <w:szCs w:val="20"/>
        </w:rPr>
        <w:t xml:space="preserve">a number of implications emerge for </w:t>
      </w:r>
      <w:r w:rsidRPr="00AB215D">
        <w:rPr>
          <w:sz w:val="20"/>
          <w:szCs w:val="20"/>
        </w:rPr>
        <w:t>specific infrastructure priorities</w:t>
      </w:r>
      <w:r w:rsidR="005D76FB">
        <w:rPr>
          <w:sz w:val="20"/>
          <w:szCs w:val="20"/>
        </w:rPr>
        <w:t>:</w:t>
      </w:r>
      <w:r w:rsidRPr="00AB215D">
        <w:rPr>
          <w:sz w:val="20"/>
          <w:szCs w:val="20"/>
        </w:rPr>
        <w:t xml:space="preserve"> </w:t>
      </w:r>
    </w:p>
    <w:p w14:paraId="5AC83782" w14:textId="0570F264" w:rsidR="00CA6467" w:rsidRPr="00AB215D" w:rsidRDefault="00CA6467" w:rsidP="008E47D7">
      <w:pPr>
        <w:pStyle w:val="ListParagraph"/>
        <w:numPr>
          <w:ilvl w:val="0"/>
          <w:numId w:val="3"/>
        </w:numPr>
        <w:spacing w:after="0" w:line="280" w:lineRule="atLeast"/>
        <w:ind w:left="426"/>
        <w:jc w:val="both"/>
        <w:rPr>
          <w:rFonts w:asciiTheme="minorHAnsi" w:hAnsiTheme="minorHAnsi"/>
          <w:sz w:val="20"/>
          <w:szCs w:val="20"/>
        </w:rPr>
      </w:pPr>
      <w:r w:rsidRPr="00AB215D">
        <w:rPr>
          <w:rFonts w:asciiTheme="minorHAnsi" w:hAnsiTheme="minorHAnsi"/>
          <w:sz w:val="20"/>
          <w:szCs w:val="20"/>
        </w:rPr>
        <w:t>In the short term, additional investment in primary schools will be required to accommodate the 3</w:t>
      </w:r>
      <w:r w:rsidR="005D76FB">
        <w:rPr>
          <w:rFonts w:asciiTheme="minorHAnsi" w:hAnsiTheme="minorHAnsi"/>
          <w:sz w:val="20"/>
          <w:szCs w:val="20"/>
        </w:rPr>
        <w:t xml:space="preserve"> per cent</w:t>
      </w:r>
      <w:r w:rsidRPr="00AB215D">
        <w:rPr>
          <w:rFonts w:asciiTheme="minorHAnsi" w:hAnsiTheme="minorHAnsi"/>
          <w:sz w:val="20"/>
          <w:szCs w:val="20"/>
        </w:rPr>
        <w:t xml:space="preserve"> increase in the number of children aged 14 or under </w:t>
      </w:r>
      <w:r w:rsidR="005D76FB">
        <w:rPr>
          <w:rFonts w:asciiTheme="minorHAnsi" w:hAnsiTheme="minorHAnsi"/>
          <w:sz w:val="20"/>
          <w:szCs w:val="20"/>
        </w:rPr>
        <w:t xml:space="preserve">up </w:t>
      </w:r>
      <w:r w:rsidRPr="00AB215D">
        <w:rPr>
          <w:rFonts w:asciiTheme="minorHAnsi" w:hAnsiTheme="minorHAnsi"/>
          <w:sz w:val="20"/>
          <w:szCs w:val="20"/>
        </w:rPr>
        <w:t>to 2021; as some</w:t>
      </w:r>
      <w:r w:rsidR="009D33CB">
        <w:rPr>
          <w:rFonts w:asciiTheme="minorHAnsi" w:hAnsiTheme="minorHAnsi"/>
          <w:sz w:val="20"/>
          <w:szCs w:val="20"/>
        </w:rPr>
        <w:t xml:space="preserve"> of</w:t>
      </w:r>
      <w:r w:rsidRPr="00AB215D">
        <w:rPr>
          <w:rFonts w:asciiTheme="minorHAnsi" w:hAnsiTheme="minorHAnsi"/>
          <w:sz w:val="20"/>
          <w:szCs w:val="20"/>
        </w:rPr>
        <w:t xml:space="preserve"> these children age, between 2021 and 2026, the number of children of secondary school going age will increase demand for spaces at this level.</w:t>
      </w:r>
      <w:r w:rsidR="003B0EFC">
        <w:rPr>
          <w:rFonts w:asciiTheme="minorHAnsi" w:hAnsiTheme="minorHAnsi"/>
          <w:sz w:val="20"/>
          <w:szCs w:val="20"/>
        </w:rPr>
        <w:t xml:space="preserve"> </w:t>
      </w:r>
    </w:p>
    <w:p w14:paraId="4E064B92" w14:textId="55BD0EEE" w:rsidR="00CA6467" w:rsidRPr="005D76FB" w:rsidRDefault="00CA6467" w:rsidP="008E47D7">
      <w:pPr>
        <w:pStyle w:val="ListParagraph"/>
        <w:numPr>
          <w:ilvl w:val="0"/>
          <w:numId w:val="3"/>
        </w:numPr>
        <w:spacing w:after="0" w:line="280" w:lineRule="atLeast"/>
        <w:ind w:left="426"/>
        <w:jc w:val="both"/>
        <w:rPr>
          <w:rFonts w:asciiTheme="minorHAnsi" w:hAnsiTheme="minorHAnsi"/>
          <w:sz w:val="20"/>
          <w:szCs w:val="20"/>
        </w:rPr>
      </w:pPr>
      <w:r w:rsidRPr="00AB215D">
        <w:rPr>
          <w:rFonts w:asciiTheme="minorHAnsi" w:hAnsiTheme="minorHAnsi"/>
          <w:sz w:val="20"/>
          <w:szCs w:val="20"/>
        </w:rPr>
        <w:t xml:space="preserve">In line with these developments, the </w:t>
      </w:r>
      <w:r w:rsidRPr="00ED3FB7">
        <w:rPr>
          <w:rFonts w:asciiTheme="minorHAnsi" w:hAnsiTheme="minorHAnsi"/>
          <w:i/>
          <w:sz w:val="20"/>
          <w:szCs w:val="20"/>
        </w:rPr>
        <w:t>Capital Plan</w:t>
      </w:r>
      <w:r w:rsidRPr="00AB215D">
        <w:rPr>
          <w:rFonts w:asciiTheme="minorHAnsi" w:hAnsiTheme="minorHAnsi"/>
          <w:sz w:val="20"/>
          <w:szCs w:val="20"/>
        </w:rPr>
        <w:t xml:space="preserve"> notes that </w:t>
      </w:r>
      <w:r w:rsidRPr="00AB215D">
        <w:rPr>
          <w:rFonts w:asciiTheme="minorHAnsi" w:hAnsiTheme="minorHAnsi" w:cs="HelveticaNeue-Light"/>
          <w:sz w:val="20"/>
          <w:szCs w:val="20"/>
        </w:rPr>
        <w:t>“</w:t>
      </w:r>
      <w:r w:rsidRPr="00A83D1C">
        <w:rPr>
          <w:rFonts w:asciiTheme="minorHAnsi" w:hAnsiTheme="minorHAnsi" w:cs="HelveticaNeue-Light"/>
          <w:i/>
          <w:sz w:val="20"/>
          <w:szCs w:val="20"/>
        </w:rPr>
        <w:t>it is expected that the demand for school places will peak in 2018 for primary school places and 2025 for secondary school places</w:t>
      </w:r>
      <w:r w:rsidRPr="00AB215D">
        <w:rPr>
          <w:rFonts w:asciiTheme="minorHAnsi" w:hAnsiTheme="minorHAnsi" w:cs="HelveticaNeue-Light"/>
          <w:sz w:val="20"/>
          <w:szCs w:val="20"/>
        </w:rPr>
        <w:t>.”</w:t>
      </w:r>
      <w:r w:rsidRPr="00AB215D">
        <w:rPr>
          <w:rStyle w:val="FootnoteReference"/>
          <w:rFonts w:asciiTheme="minorHAnsi" w:hAnsiTheme="minorHAnsi" w:cs="HelveticaNeue-Light"/>
          <w:sz w:val="20"/>
          <w:szCs w:val="20"/>
        </w:rPr>
        <w:footnoteReference w:id="37"/>
      </w:r>
    </w:p>
    <w:p w14:paraId="14BA3821" w14:textId="0285D40B" w:rsidR="005D76FB" w:rsidRPr="003B0EFC" w:rsidRDefault="005D76FB" w:rsidP="008E47D7">
      <w:pPr>
        <w:pStyle w:val="ListParagraph"/>
        <w:numPr>
          <w:ilvl w:val="0"/>
          <w:numId w:val="3"/>
        </w:numPr>
        <w:spacing w:after="0" w:line="280" w:lineRule="atLeast"/>
        <w:ind w:left="426"/>
        <w:jc w:val="both"/>
        <w:rPr>
          <w:rFonts w:asciiTheme="minorHAnsi" w:hAnsiTheme="minorHAnsi"/>
          <w:sz w:val="20"/>
          <w:szCs w:val="20"/>
        </w:rPr>
      </w:pPr>
      <w:r>
        <w:rPr>
          <w:rFonts w:asciiTheme="minorHAnsi" w:hAnsiTheme="minorHAnsi" w:cs="HelveticaNeue-Light"/>
          <w:sz w:val="20"/>
          <w:szCs w:val="20"/>
        </w:rPr>
        <w:t>As these teenagers leave secondary</w:t>
      </w:r>
      <w:r w:rsidR="00A70C7D">
        <w:rPr>
          <w:rFonts w:asciiTheme="minorHAnsi" w:hAnsiTheme="minorHAnsi" w:cs="HelveticaNeue-Light"/>
          <w:sz w:val="20"/>
          <w:szCs w:val="20"/>
        </w:rPr>
        <w:t xml:space="preserve"> school</w:t>
      </w:r>
      <w:r>
        <w:rPr>
          <w:rFonts w:asciiTheme="minorHAnsi" w:hAnsiTheme="minorHAnsi" w:cs="HelveticaNeue-Light"/>
          <w:sz w:val="20"/>
          <w:szCs w:val="20"/>
        </w:rPr>
        <w:t xml:space="preserve">, there will be an increased demand for third level places in the decade 2021-2031. </w:t>
      </w:r>
    </w:p>
    <w:p w14:paraId="46E99E87" w14:textId="4D09F13D" w:rsidR="003B0EFC" w:rsidRPr="00AB215D" w:rsidRDefault="003B0EFC" w:rsidP="008E47D7">
      <w:pPr>
        <w:pStyle w:val="ListParagraph"/>
        <w:numPr>
          <w:ilvl w:val="0"/>
          <w:numId w:val="3"/>
        </w:numPr>
        <w:spacing w:after="0" w:line="280" w:lineRule="atLeast"/>
        <w:ind w:left="426"/>
        <w:jc w:val="both"/>
        <w:rPr>
          <w:rFonts w:asciiTheme="minorHAnsi" w:hAnsiTheme="minorHAnsi"/>
          <w:sz w:val="20"/>
          <w:szCs w:val="20"/>
        </w:rPr>
      </w:pPr>
      <w:r>
        <w:rPr>
          <w:rFonts w:asciiTheme="minorHAnsi" w:hAnsiTheme="minorHAnsi"/>
          <w:sz w:val="20"/>
          <w:szCs w:val="20"/>
        </w:rPr>
        <w:t>Separately the Department of Education and Skills has estimated that the enrolment in primary schools will peak at around 574,000 in 2018 and at around 410,000 in the post-primary school system by 2025.</w:t>
      </w:r>
    </w:p>
    <w:p w14:paraId="628DF59B" w14:textId="77777777" w:rsidR="00CA6467" w:rsidRPr="00AB215D" w:rsidRDefault="00CA6467" w:rsidP="008E47D7">
      <w:pPr>
        <w:pStyle w:val="ListParagraph"/>
        <w:numPr>
          <w:ilvl w:val="0"/>
          <w:numId w:val="3"/>
        </w:numPr>
        <w:spacing w:after="0" w:line="280" w:lineRule="atLeast"/>
        <w:ind w:left="426"/>
        <w:jc w:val="both"/>
        <w:rPr>
          <w:rFonts w:asciiTheme="minorHAnsi" w:hAnsiTheme="minorHAnsi"/>
          <w:sz w:val="20"/>
          <w:szCs w:val="20"/>
        </w:rPr>
      </w:pPr>
      <w:r w:rsidRPr="00AB215D">
        <w:rPr>
          <w:rFonts w:asciiTheme="minorHAnsi" w:hAnsiTheme="minorHAnsi"/>
          <w:sz w:val="20"/>
          <w:szCs w:val="20"/>
        </w:rPr>
        <w:t>Planning for nursing homes and retirement communities now will mitigate against the rapidly ageing population: by 2026 there will be an additional 156,000 individuals aged over 60.</w:t>
      </w:r>
    </w:p>
    <w:p w14:paraId="44F85D9E" w14:textId="77777777" w:rsidR="00A83D1C" w:rsidRDefault="00A83D1C" w:rsidP="008E47D7">
      <w:pPr>
        <w:pStyle w:val="DKMBodyText"/>
        <w:rPr>
          <w:rFonts w:asciiTheme="minorHAnsi" w:hAnsiTheme="minorHAnsi"/>
          <w:sz w:val="20"/>
          <w:szCs w:val="20"/>
        </w:rPr>
      </w:pPr>
    </w:p>
    <w:p w14:paraId="7B1425C7" w14:textId="09802655" w:rsidR="00CA6467" w:rsidRDefault="00ED3FB7" w:rsidP="008E47D7">
      <w:pPr>
        <w:pStyle w:val="DKMBodyText"/>
        <w:rPr>
          <w:rFonts w:asciiTheme="minorHAnsi" w:hAnsiTheme="minorHAnsi"/>
          <w:sz w:val="20"/>
          <w:szCs w:val="20"/>
        </w:rPr>
      </w:pPr>
      <w:r>
        <w:rPr>
          <w:rFonts w:asciiTheme="minorHAnsi" w:hAnsiTheme="minorHAnsi"/>
          <w:sz w:val="20"/>
          <w:szCs w:val="20"/>
        </w:rPr>
        <w:t>In</w:t>
      </w:r>
      <w:r w:rsidR="00A83D1C">
        <w:rPr>
          <w:rFonts w:asciiTheme="minorHAnsi" w:hAnsiTheme="minorHAnsi"/>
          <w:sz w:val="20"/>
          <w:szCs w:val="20"/>
        </w:rPr>
        <w:t xml:space="preserve"> addition, population changes are likely to vary considerably across the country. Tabl</w:t>
      </w:r>
      <w:r w:rsidR="00CA6467" w:rsidRPr="00AB215D">
        <w:rPr>
          <w:rFonts w:asciiTheme="minorHAnsi" w:hAnsiTheme="minorHAnsi"/>
          <w:sz w:val="20"/>
          <w:szCs w:val="20"/>
        </w:rPr>
        <w:t xml:space="preserve">e </w:t>
      </w:r>
      <w:r w:rsidR="008E1B3D">
        <w:rPr>
          <w:rFonts w:asciiTheme="minorHAnsi" w:hAnsiTheme="minorHAnsi"/>
          <w:sz w:val="20"/>
          <w:szCs w:val="20"/>
        </w:rPr>
        <w:t>2.3</w:t>
      </w:r>
      <w:r w:rsidR="00CA6467" w:rsidRPr="00AB215D">
        <w:rPr>
          <w:rFonts w:asciiTheme="minorHAnsi" w:hAnsiTheme="minorHAnsi"/>
          <w:sz w:val="20"/>
          <w:szCs w:val="20"/>
        </w:rPr>
        <w:t xml:space="preserve"> indicates the counties that experienced the highest rates of population growth between 2011 and 2016.</w:t>
      </w:r>
    </w:p>
    <w:p w14:paraId="4EFA47C4" w14:textId="77777777" w:rsidR="00CA6467" w:rsidRPr="00AB215D" w:rsidRDefault="00CA6467" w:rsidP="00CA6467">
      <w:pPr>
        <w:pStyle w:val="DKMBodyText"/>
        <w:rPr>
          <w:rFonts w:asciiTheme="minorHAnsi" w:hAnsiTheme="minorHAnsi"/>
          <w:sz w:val="20"/>
          <w:szCs w:val="20"/>
        </w:rPr>
      </w:pPr>
    </w:p>
    <w:p w14:paraId="72A0096F" w14:textId="77777777" w:rsidR="00CA6467" w:rsidRPr="00AB215D" w:rsidRDefault="00CA6467" w:rsidP="00CA6467">
      <w:pPr>
        <w:pStyle w:val="DKMTable"/>
        <w:spacing w:before="0" w:after="0"/>
        <w:rPr>
          <w:sz w:val="20"/>
          <w:szCs w:val="20"/>
        </w:rPr>
      </w:pPr>
      <w:bookmarkStart w:id="20" w:name="_Toc478116717"/>
      <w:r w:rsidRPr="00AB215D">
        <w:rPr>
          <w:sz w:val="20"/>
          <w:szCs w:val="20"/>
        </w:rPr>
        <w:t>10 Counties with Highest Population Growth, 2011-2016</w:t>
      </w:r>
      <w:bookmarkEnd w:id="20"/>
    </w:p>
    <w:tbl>
      <w:tblPr>
        <w:tblStyle w:val="ColorfulList-Accent1"/>
        <w:tblW w:w="7285" w:type="dxa"/>
        <w:tblLook w:val="04A0" w:firstRow="1" w:lastRow="0" w:firstColumn="1" w:lastColumn="0" w:noHBand="0" w:noVBand="1"/>
      </w:tblPr>
      <w:tblGrid>
        <w:gridCol w:w="3136"/>
        <w:gridCol w:w="4149"/>
      </w:tblGrid>
      <w:tr w:rsidR="00CA6467" w:rsidRPr="00A83D1C" w14:paraId="5D033628" w14:textId="77777777" w:rsidTr="001A37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0096E25C" w14:textId="77777777" w:rsidR="00CA6467" w:rsidRPr="00A83D1C" w:rsidRDefault="00CA6467" w:rsidP="001A376E">
            <w:pPr>
              <w:jc w:val="left"/>
              <w:rPr>
                <w:rFonts w:eastAsia="Times New Roman" w:cs="Times New Roman"/>
                <w:color w:val="FFFFFF"/>
                <w:sz w:val="20"/>
                <w:szCs w:val="20"/>
              </w:rPr>
            </w:pPr>
            <w:r w:rsidRPr="00A83D1C">
              <w:rPr>
                <w:rFonts w:eastAsia="Times New Roman" w:cs="Times New Roman"/>
                <w:color w:val="FFFFFF"/>
                <w:sz w:val="20"/>
                <w:szCs w:val="20"/>
              </w:rPr>
              <w:t>County</w:t>
            </w:r>
          </w:p>
        </w:tc>
        <w:tc>
          <w:tcPr>
            <w:tcW w:w="4149" w:type="dxa"/>
            <w:noWrap/>
            <w:hideMark/>
          </w:tcPr>
          <w:p w14:paraId="3776A0CA" w14:textId="7F6A7D29" w:rsidR="00CA6467" w:rsidRPr="00A83D1C" w:rsidRDefault="00CA6467" w:rsidP="00A83D1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rPr>
            </w:pPr>
            <w:r w:rsidRPr="00A83D1C">
              <w:rPr>
                <w:rFonts w:eastAsia="Times New Roman" w:cs="Times New Roman"/>
                <w:color w:val="FFFFFF"/>
                <w:sz w:val="20"/>
                <w:szCs w:val="20"/>
              </w:rPr>
              <w:t>(%)</w:t>
            </w:r>
          </w:p>
        </w:tc>
      </w:tr>
      <w:tr w:rsidR="00CA6467" w:rsidRPr="00A83D1C" w14:paraId="51A06073" w14:textId="77777777" w:rsidTr="001A37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5F417A7D" w14:textId="77777777" w:rsidR="00CA6467" w:rsidRPr="00A83D1C" w:rsidRDefault="00CA6467" w:rsidP="001A376E">
            <w:pPr>
              <w:jc w:val="left"/>
              <w:rPr>
                <w:rFonts w:eastAsia="Times New Roman" w:cs="Times New Roman"/>
                <w:color w:val="000000"/>
                <w:sz w:val="20"/>
                <w:szCs w:val="20"/>
              </w:rPr>
            </w:pPr>
            <w:r w:rsidRPr="00A83D1C">
              <w:rPr>
                <w:rFonts w:eastAsia="Times New Roman" w:cs="Times New Roman"/>
                <w:color w:val="000000"/>
                <w:sz w:val="20"/>
                <w:szCs w:val="20"/>
              </w:rPr>
              <w:t>Fingal</w:t>
            </w:r>
          </w:p>
        </w:tc>
        <w:tc>
          <w:tcPr>
            <w:tcW w:w="4149" w:type="dxa"/>
            <w:noWrap/>
            <w:hideMark/>
          </w:tcPr>
          <w:p w14:paraId="6E050511" w14:textId="77777777" w:rsidR="00CA6467" w:rsidRPr="00A83D1C" w:rsidRDefault="00CA6467" w:rsidP="00A83D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83D1C">
              <w:rPr>
                <w:rFonts w:eastAsia="Times New Roman" w:cs="Times New Roman"/>
                <w:color w:val="000000"/>
                <w:sz w:val="20"/>
                <w:szCs w:val="20"/>
              </w:rPr>
              <w:t>8.1</w:t>
            </w:r>
          </w:p>
        </w:tc>
      </w:tr>
      <w:tr w:rsidR="00CA6467" w:rsidRPr="00A83D1C" w14:paraId="416EAECF" w14:textId="77777777" w:rsidTr="001A376E">
        <w:trPr>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10A0FE9C" w14:textId="77777777" w:rsidR="00CA6467" w:rsidRPr="00A83D1C" w:rsidRDefault="00CA6467" w:rsidP="001A376E">
            <w:pPr>
              <w:jc w:val="left"/>
              <w:rPr>
                <w:rFonts w:eastAsia="Times New Roman" w:cs="Times New Roman"/>
                <w:color w:val="000000"/>
                <w:sz w:val="20"/>
                <w:szCs w:val="20"/>
              </w:rPr>
            </w:pPr>
            <w:r w:rsidRPr="00A83D1C">
              <w:rPr>
                <w:rFonts w:eastAsia="Times New Roman" w:cs="Times New Roman"/>
                <w:color w:val="000000"/>
                <w:sz w:val="20"/>
                <w:szCs w:val="20"/>
              </w:rPr>
              <w:t>Meath</w:t>
            </w:r>
          </w:p>
        </w:tc>
        <w:tc>
          <w:tcPr>
            <w:tcW w:w="4149" w:type="dxa"/>
            <w:noWrap/>
            <w:hideMark/>
          </w:tcPr>
          <w:p w14:paraId="0B54708E" w14:textId="77777777" w:rsidR="00CA6467" w:rsidRPr="00A83D1C" w:rsidRDefault="00CA6467" w:rsidP="00A83D1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83D1C">
              <w:rPr>
                <w:rFonts w:eastAsia="Times New Roman" w:cs="Times New Roman"/>
                <w:color w:val="000000"/>
                <w:sz w:val="20"/>
                <w:szCs w:val="20"/>
              </w:rPr>
              <w:t>5.9</w:t>
            </w:r>
          </w:p>
        </w:tc>
      </w:tr>
      <w:tr w:rsidR="00CA6467" w:rsidRPr="00A83D1C" w14:paraId="7612BD0C" w14:textId="77777777" w:rsidTr="001A37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4E351004" w14:textId="77777777" w:rsidR="00CA6467" w:rsidRPr="00A83D1C" w:rsidRDefault="00CA6467" w:rsidP="001A376E">
            <w:pPr>
              <w:jc w:val="left"/>
              <w:rPr>
                <w:rFonts w:eastAsia="Times New Roman" w:cs="Times New Roman"/>
                <w:color w:val="000000"/>
                <w:sz w:val="20"/>
                <w:szCs w:val="20"/>
              </w:rPr>
            </w:pPr>
            <w:r w:rsidRPr="00A83D1C">
              <w:rPr>
                <w:rFonts w:eastAsia="Times New Roman" w:cs="Times New Roman"/>
                <w:color w:val="000000"/>
                <w:sz w:val="20"/>
                <w:szCs w:val="20"/>
              </w:rPr>
              <w:t>Kildare</w:t>
            </w:r>
          </w:p>
        </w:tc>
        <w:tc>
          <w:tcPr>
            <w:tcW w:w="4149" w:type="dxa"/>
            <w:noWrap/>
            <w:hideMark/>
          </w:tcPr>
          <w:p w14:paraId="64B45AF8" w14:textId="77777777" w:rsidR="00CA6467" w:rsidRPr="00A83D1C" w:rsidRDefault="00CA6467" w:rsidP="00A83D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83D1C">
              <w:rPr>
                <w:rFonts w:eastAsia="Times New Roman" w:cs="Times New Roman"/>
                <w:color w:val="000000"/>
                <w:sz w:val="20"/>
                <w:szCs w:val="20"/>
              </w:rPr>
              <w:t>5.6</w:t>
            </w:r>
          </w:p>
        </w:tc>
      </w:tr>
      <w:tr w:rsidR="00CA6467" w:rsidRPr="00A83D1C" w14:paraId="23FF2467" w14:textId="77777777" w:rsidTr="001A376E">
        <w:trPr>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47EB7736" w14:textId="77777777" w:rsidR="00CA6467" w:rsidRPr="00A83D1C" w:rsidRDefault="00CA6467" w:rsidP="001A376E">
            <w:pPr>
              <w:jc w:val="left"/>
              <w:rPr>
                <w:rFonts w:eastAsia="Times New Roman" w:cs="Times New Roman"/>
                <w:color w:val="000000"/>
                <w:sz w:val="20"/>
                <w:szCs w:val="20"/>
              </w:rPr>
            </w:pPr>
            <w:r w:rsidRPr="00A83D1C">
              <w:rPr>
                <w:rFonts w:eastAsia="Times New Roman" w:cs="Times New Roman"/>
                <w:color w:val="000000"/>
                <w:sz w:val="20"/>
                <w:szCs w:val="20"/>
              </w:rPr>
              <w:t>Cork City</w:t>
            </w:r>
          </w:p>
        </w:tc>
        <w:tc>
          <w:tcPr>
            <w:tcW w:w="4149" w:type="dxa"/>
            <w:noWrap/>
            <w:hideMark/>
          </w:tcPr>
          <w:p w14:paraId="2F492437" w14:textId="77777777" w:rsidR="00CA6467" w:rsidRPr="00A83D1C" w:rsidRDefault="00CA6467" w:rsidP="00A83D1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83D1C">
              <w:rPr>
                <w:rFonts w:eastAsia="Times New Roman" w:cs="Times New Roman"/>
                <w:color w:val="000000"/>
                <w:sz w:val="20"/>
                <w:szCs w:val="20"/>
              </w:rPr>
              <w:t>5.4</w:t>
            </w:r>
          </w:p>
        </w:tc>
      </w:tr>
      <w:tr w:rsidR="00CA6467" w:rsidRPr="00A83D1C" w14:paraId="13F822A1" w14:textId="77777777" w:rsidTr="001A37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0E2455C4" w14:textId="77777777" w:rsidR="00CA6467" w:rsidRPr="00A83D1C" w:rsidRDefault="00CA6467" w:rsidP="001A376E">
            <w:pPr>
              <w:jc w:val="left"/>
              <w:rPr>
                <w:rFonts w:eastAsia="Times New Roman" w:cs="Times New Roman"/>
                <w:color w:val="000000"/>
                <w:sz w:val="20"/>
                <w:szCs w:val="20"/>
              </w:rPr>
            </w:pPr>
            <w:r w:rsidRPr="00A83D1C">
              <w:rPr>
                <w:rFonts w:eastAsia="Times New Roman" w:cs="Times New Roman"/>
                <w:color w:val="000000"/>
                <w:sz w:val="20"/>
                <w:szCs w:val="20"/>
              </w:rPr>
              <w:t>Dún Laoghaire-Rathdown</w:t>
            </w:r>
          </w:p>
        </w:tc>
        <w:tc>
          <w:tcPr>
            <w:tcW w:w="4149" w:type="dxa"/>
            <w:noWrap/>
            <w:hideMark/>
          </w:tcPr>
          <w:p w14:paraId="22FB0B95" w14:textId="77777777" w:rsidR="00CA6467" w:rsidRPr="00A83D1C" w:rsidRDefault="00CA6467" w:rsidP="00A83D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83D1C">
              <w:rPr>
                <w:rFonts w:eastAsia="Times New Roman" w:cs="Times New Roman"/>
                <w:color w:val="000000"/>
                <w:sz w:val="20"/>
                <w:szCs w:val="20"/>
              </w:rPr>
              <w:t>5.3</w:t>
            </w:r>
          </w:p>
        </w:tc>
      </w:tr>
      <w:tr w:rsidR="00CA6467" w:rsidRPr="00A83D1C" w14:paraId="066CA077" w14:textId="77777777" w:rsidTr="001A376E">
        <w:trPr>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3155499D" w14:textId="77777777" w:rsidR="00CA6467" w:rsidRPr="00A83D1C" w:rsidRDefault="00CA6467" w:rsidP="001A376E">
            <w:pPr>
              <w:jc w:val="left"/>
              <w:rPr>
                <w:rFonts w:eastAsia="Times New Roman" w:cs="Times New Roman"/>
                <w:color w:val="000000"/>
                <w:sz w:val="20"/>
                <w:szCs w:val="20"/>
              </w:rPr>
            </w:pPr>
            <w:r w:rsidRPr="00A83D1C">
              <w:rPr>
                <w:rFonts w:eastAsia="Times New Roman" w:cs="Times New Roman"/>
                <w:color w:val="000000"/>
                <w:sz w:val="20"/>
                <w:szCs w:val="20"/>
              </w:rPr>
              <w:t>Galway City</w:t>
            </w:r>
          </w:p>
        </w:tc>
        <w:tc>
          <w:tcPr>
            <w:tcW w:w="4149" w:type="dxa"/>
            <w:noWrap/>
            <w:hideMark/>
          </w:tcPr>
          <w:p w14:paraId="2FF5DEAF" w14:textId="77777777" w:rsidR="00CA6467" w:rsidRPr="00A83D1C" w:rsidRDefault="00CA6467" w:rsidP="00A83D1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83D1C">
              <w:rPr>
                <w:rFonts w:eastAsia="Times New Roman" w:cs="Times New Roman"/>
                <w:color w:val="000000"/>
                <w:sz w:val="20"/>
                <w:szCs w:val="20"/>
              </w:rPr>
              <w:t>5.3</w:t>
            </w:r>
          </w:p>
        </w:tc>
      </w:tr>
      <w:tr w:rsidR="00CA6467" w:rsidRPr="00A83D1C" w14:paraId="67415726" w14:textId="77777777" w:rsidTr="001A37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1054B440" w14:textId="77777777" w:rsidR="00CA6467" w:rsidRPr="00A83D1C" w:rsidRDefault="00CA6467" w:rsidP="001A376E">
            <w:pPr>
              <w:jc w:val="left"/>
              <w:rPr>
                <w:rFonts w:eastAsia="Times New Roman" w:cs="Times New Roman"/>
                <w:color w:val="000000"/>
                <w:sz w:val="20"/>
                <w:szCs w:val="20"/>
              </w:rPr>
            </w:pPr>
            <w:r w:rsidRPr="00A83D1C">
              <w:rPr>
                <w:rFonts w:eastAsia="Times New Roman" w:cs="Times New Roman"/>
                <w:color w:val="000000"/>
                <w:sz w:val="20"/>
                <w:szCs w:val="20"/>
              </w:rPr>
              <w:t>Laois</w:t>
            </w:r>
          </w:p>
        </w:tc>
        <w:tc>
          <w:tcPr>
            <w:tcW w:w="4149" w:type="dxa"/>
            <w:noWrap/>
            <w:hideMark/>
          </w:tcPr>
          <w:p w14:paraId="1C93A583" w14:textId="77777777" w:rsidR="00CA6467" w:rsidRPr="00A83D1C" w:rsidRDefault="00CA6467" w:rsidP="00A83D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83D1C">
              <w:rPr>
                <w:rFonts w:eastAsia="Times New Roman" w:cs="Times New Roman"/>
                <w:color w:val="000000"/>
                <w:sz w:val="20"/>
                <w:szCs w:val="20"/>
              </w:rPr>
              <w:t>5.2</w:t>
            </w:r>
          </w:p>
        </w:tc>
      </w:tr>
      <w:tr w:rsidR="00CA6467" w:rsidRPr="00A83D1C" w14:paraId="552B5029" w14:textId="77777777" w:rsidTr="001A376E">
        <w:trPr>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50B92E5C" w14:textId="77777777" w:rsidR="00CA6467" w:rsidRPr="00A83D1C" w:rsidRDefault="00CA6467" w:rsidP="001A376E">
            <w:pPr>
              <w:jc w:val="left"/>
              <w:rPr>
                <w:rFonts w:eastAsia="Times New Roman" w:cs="Times New Roman"/>
                <w:color w:val="000000"/>
                <w:sz w:val="20"/>
                <w:szCs w:val="20"/>
              </w:rPr>
            </w:pPr>
            <w:r w:rsidRPr="00A83D1C">
              <w:rPr>
                <w:rFonts w:eastAsia="Times New Roman" w:cs="Times New Roman"/>
                <w:color w:val="000000"/>
                <w:sz w:val="20"/>
                <w:szCs w:val="20"/>
              </w:rPr>
              <w:t>South Dublin</w:t>
            </w:r>
          </w:p>
        </w:tc>
        <w:tc>
          <w:tcPr>
            <w:tcW w:w="4149" w:type="dxa"/>
            <w:noWrap/>
            <w:hideMark/>
          </w:tcPr>
          <w:p w14:paraId="6B346C4A" w14:textId="77777777" w:rsidR="00CA6467" w:rsidRPr="00A83D1C" w:rsidRDefault="00CA6467" w:rsidP="00A83D1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83D1C">
              <w:rPr>
                <w:rFonts w:eastAsia="Times New Roman" w:cs="Times New Roman"/>
                <w:color w:val="000000"/>
                <w:sz w:val="20"/>
                <w:szCs w:val="20"/>
              </w:rPr>
              <w:t>5.1</w:t>
            </w:r>
          </w:p>
        </w:tc>
      </w:tr>
      <w:tr w:rsidR="00CA6467" w:rsidRPr="00A83D1C" w14:paraId="5B70D345" w14:textId="77777777" w:rsidTr="001A37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79AF29B4" w14:textId="77777777" w:rsidR="00CA6467" w:rsidRPr="00A83D1C" w:rsidRDefault="00CA6467" w:rsidP="001A376E">
            <w:pPr>
              <w:jc w:val="left"/>
              <w:rPr>
                <w:rFonts w:eastAsia="Times New Roman" w:cs="Times New Roman"/>
                <w:color w:val="000000"/>
                <w:sz w:val="20"/>
                <w:szCs w:val="20"/>
              </w:rPr>
            </w:pPr>
            <w:r w:rsidRPr="00A83D1C">
              <w:rPr>
                <w:rFonts w:eastAsia="Times New Roman" w:cs="Times New Roman"/>
                <w:color w:val="000000"/>
                <w:sz w:val="20"/>
                <w:szCs w:val="20"/>
              </w:rPr>
              <w:t>Dublin City</w:t>
            </w:r>
          </w:p>
        </w:tc>
        <w:tc>
          <w:tcPr>
            <w:tcW w:w="4149" w:type="dxa"/>
            <w:noWrap/>
            <w:hideMark/>
          </w:tcPr>
          <w:p w14:paraId="4FDFE569" w14:textId="77777777" w:rsidR="00CA6467" w:rsidRPr="00A83D1C" w:rsidRDefault="00CA6467" w:rsidP="00A83D1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A83D1C">
              <w:rPr>
                <w:rFonts w:eastAsia="Times New Roman" w:cs="Times New Roman"/>
                <w:color w:val="000000"/>
                <w:sz w:val="20"/>
                <w:szCs w:val="20"/>
              </w:rPr>
              <w:t>4.8</w:t>
            </w:r>
          </w:p>
        </w:tc>
      </w:tr>
      <w:tr w:rsidR="00CA6467" w:rsidRPr="00A83D1C" w14:paraId="296D5FC7" w14:textId="77777777" w:rsidTr="001A376E">
        <w:trPr>
          <w:trHeight w:val="20"/>
        </w:trPr>
        <w:tc>
          <w:tcPr>
            <w:cnfStyle w:val="001000000000" w:firstRow="0" w:lastRow="0" w:firstColumn="1" w:lastColumn="0" w:oddVBand="0" w:evenVBand="0" w:oddHBand="0" w:evenHBand="0" w:firstRowFirstColumn="0" w:firstRowLastColumn="0" w:lastRowFirstColumn="0" w:lastRowLastColumn="0"/>
            <w:tcW w:w="3136" w:type="dxa"/>
            <w:noWrap/>
            <w:hideMark/>
          </w:tcPr>
          <w:p w14:paraId="1265EE03" w14:textId="77777777" w:rsidR="00CA6467" w:rsidRPr="00A83D1C" w:rsidRDefault="00CA6467" w:rsidP="001A376E">
            <w:pPr>
              <w:jc w:val="left"/>
              <w:rPr>
                <w:rFonts w:eastAsia="Times New Roman" w:cs="Times New Roman"/>
                <w:color w:val="000000"/>
                <w:sz w:val="20"/>
                <w:szCs w:val="20"/>
              </w:rPr>
            </w:pPr>
            <w:r w:rsidRPr="00A83D1C">
              <w:rPr>
                <w:rFonts w:eastAsia="Times New Roman" w:cs="Times New Roman"/>
                <w:color w:val="000000"/>
                <w:sz w:val="20"/>
                <w:szCs w:val="20"/>
              </w:rPr>
              <w:t>Longford</w:t>
            </w:r>
          </w:p>
        </w:tc>
        <w:tc>
          <w:tcPr>
            <w:tcW w:w="4149" w:type="dxa"/>
            <w:noWrap/>
            <w:hideMark/>
          </w:tcPr>
          <w:p w14:paraId="6B68AACD" w14:textId="77777777" w:rsidR="00CA6467" w:rsidRPr="00A83D1C" w:rsidRDefault="00CA6467" w:rsidP="00A83D1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A83D1C">
              <w:rPr>
                <w:rFonts w:eastAsia="Times New Roman" w:cs="Times New Roman"/>
                <w:color w:val="000000"/>
                <w:sz w:val="20"/>
                <w:szCs w:val="20"/>
              </w:rPr>
              <w:t>4.6</w:t>
            </w:r>
          </w:p>
        </w:tc>
      </w:tr>
    </w:tbl>
    <w:p w14:paraId="64001EF2" w14:textId="51A22259" w:rsidR="00CA6467" w:rsidRPr="00AB215D" w:rsidRDefault="00CA6467" w:rsidP="00CA6467">
      <w:pPr>
        <w:pStyle w:val="DKMBodyText"/>
        <w:rPr>
          <w:rFonts w:asciiTheme="minorHAnsi" w:hAnsiTheme="minorHAnsi"/>
          <w:sz w:val="18"/>
          <w:szCs w:val="18"/>
        </w:rPr>
      </w:pPr>
      <w:r w:rsidRPr="00AB215D">
        <w:rPr>
          <w:rFonts w:asciiTheme="minorHAnsi" w:hAnsiTheme="minorHAnsi"/>
          <w:sz w:val="18"/>
          <w:szCs w:val="18"/>
        </w:rPr>
        <w:t xml:space="preserve">Source: CSO Census </w:t>
      </w:r>
      <w:r w:rsidR="008E1B3D">
        <w:rPr>
          <w:rFonts w:asciiTheme="minorHAnsi" w:hAnsiTheme="minorHAnsi"/>
          <w:sz w:val="18"/>
          <w:szCs w:val="18"/>
        </w:rPr>
        <w:t xml:space="preserve">of Population </w:t>
      </w:r>
      <w:r w:rsidRPr="00AB215D">
        <w:rPr>
          <w:rFonts w:asciiTheme="minorHAnsi" w:hAnsiTheme="minorHAnsi"/>
          <w:sz w:val="18"/>
          <w:szCs w:val="18"/>
        </w:rPr>
        <w:t>2016</w:t>
      </w:r>
      <w:r w:rsidR="008E1B3D">
        <w:rPr>
          <w:rFonts w:asciiTheme="minorHAnsi" w:hAnsiTheme="minorHAnsi"/>
          <w:sz w:val="18"/>
          <w:szCs w:val="18"/>
        </w:rPr>
        <w:t>.</w:t>
      </w:r>
    </w:p>
    <w:p w14:paraId="73B018F4" w14:textId="77777777" w:rsidR="00CA6467" w:rsidRPr="00CA6467" w:rsidRDefault="00CA6467" w:rsidP="00CA6467">
      <w:pPr>
        <w:pStyle w:val="DKMBodyText"/>
        <w:rPr>
          <w:rFonts w:asciiTheme="minorHAnsi" w:hAnsiTheme="minorHAnsi"/>
          <w:sz w:val="20"/>
          <w:szCs w:val="20"/>
        </w:rPr>
      </w:pPr>
    </w:p>
    <w:p w14:paraId="45BA5030" w14:textId="38298058" w:rsidR="00CA6467" w:rsidRPr="00A83D1C" w:rsidRDefault="00CA6467" w:rsidP="00A83D1C">
      <w:pPr>
        <w:pStyle w:val="DKMBodyText"/>
        <w:rPr>
          <w:rFonts w:asciiTheme="minorHAnsi" w:hAnsiTheme="minorHAnsi"/>
          <w:sz w:val="20"/>
          <w:szCs w:val="20"/>
        </w:rPr>
      </w:pPr>
      <w:r w:rsidRPr="00A83D1C">
        <w:rPr>
          <w:rFonts w:asciiTheme="minorHAnsi" w:hAnsiTheme="minorHAnsi"/>
          <w:sz w:val="20"/>
          <w:szCs w:val="20"/>
        </w:rPr>
        <w:t xml:space="preserve">Whilst this data does not indicate the level of capital investment that took place in each county in the period 2011-2016 (and hence we cannot identify specific county-based deficits), the data points to the locations where infrastructure is likely to have come under pressure since 2011. Given the low levels of public capital expenditure </w:t>
      </w:r>
      <w:r w:rsidR="006A4BEA">
        <w:rPr>
          <w:rFonts w:asciiTheme="minorHAnsi" w:hAnsiTheme="minorHAnsi"/>
          <w:sz w:val="20"/>
          <w:szCs w:val="20"/>
        </w:rPr>
        <w:t xml:space="preserve">at </w:t>
      </w:r>
      <w:r w:rsidRPr="00A83D1C">
        <w:rPr>
          <w:rFonts w:asciiTheme="minorHAnsi" w:hAnsiTheme="minorHAnsi"/>
          <w:sz w:val="20"/>
          <w:szCs w:val="20"/>
        </w:rPr>
        <w:t xml:space="preserve">the State level over recent years, these counties could be experiencing infrastructural deficit to a greater extent than other counties. </w:t>
      </w:r>
    </w:p>
    <w:p w14:paraId="17A30B8B" w14:textId="77777777" w:rsidR="00CA6467" w:rsidRPr="00A83D1C" w:rsidRDefault="00CA6467" w:rsidP="00A83D1C">
      <w:pPr>
        <w:pStyle w:val="DKMBodyText"/>
        <w:rPr>
          <w:rFonts w:asciiTheme="minorHAnsi" w:hAnsiTheme="minorHAnsi"/>
          <w:sz w:val="20"/>
          <w:szCs w:val="20"/>
        </w:rPr>
      </w:pPr>
    </w:p>
    <w:p w14:paraId="46C5C5F3" w14:textId="3B2D9BBC" w:rsidR="00A83D1C" w:rsidRPr="00346DCA" w:rsidRDefault="00A83D1C" w:rsidP="00A83D1C">
      <w:pPr>
        <w:pStyle w:val="DKMBodyText"/>
        <w:rPr>
          <w:rFonts w:asciiTheme="minorHAnsi" w:hAnsiTheme="minorHAnsi"/>
        </w:rPr>
      </w:pPr>
      <w:r w:rsidRPr="00A83D1C">
        <w:rPr>
          <w:rFonts w:asciiTheme="minorHAnsi" w:hAnsiTheme="minorHAnsi"/>
          <w:sz w:val="20"/>
          <w:szCs w:val="20"/>
        </w:rPr>
        <w:t xml:space="preserve">Projecting population growth forward allows us to identify where pressure might come </w:t>
      </w:r>
      <w:r w:rsidR="00174CF5">
        <w:rPr>
          <w:rFonts w:asciiTheme="minorHAnsi" w:hAnsiTheme="minorHAnsi"/>
          <w:sz w:val="20"/>
          <w:szCs w:val="20"/>
        </w:rPr>
        <w:t xml:space="preserve">on </w:t>
      </w:r>
      <w:r w:rsidRPr="00A83D1C">
        <w:rPr>
          <w:rFonts w:asciiTheme="minorHAnsi" w:hAnsiTheme="minorHAnsi"/>
          <w:sz w:val="20"/>
          <w:szCs w:val="20"/>
        </w:rPr>
        <w:t xml:space="preserve">the system over the coming decades. Table </w:t>
      </w:r>
      <w:r w:rsidR="008E1B3D">
        <w:rPr>
          <w:rFonts w:asciiTheme="minorHAnsi" w:hAnsiTheme="minorHAnsi"/>
          <w:sz w:val="20"/>
          <w:szCs w:val="20"/>
        </w:rPr>
        <w:t>2.4</w:t>
      </w:r>
      <w:r w:rsidRPr="00A83D1C">
        <w:rPr>
          <w:rFonts w:asciiTheme="minorHAnsi" w:hAnsiTheme="minorHAnsi"/>
          <w:sz w:val="20"/>
          <w:szCs w:val="20"/>
        </w:rPr>
        <w:t xml:space="preserve"> outlines the projected population of each region in each census year </w:t>
      </w:r>
      <w:r w:rsidR="00AE3405">
        <w:rPr>
          <w:rFonts w:asciiTheme="minorHAnsi" w:hAnsiTheme="minorHAnsi"/>
          <w:sz w:val="20"/>
          <w:szCs w:val="20"/>
        </w:rPr>
        <w:t xml:space="preserve">up </w:t>
      </w:r>
      <w:r w:rsidRPr="00A83D1C">
        <w:rPr>
          <w:rFonts w:asciiTheme="minorHAnsi" w:hAnsiTheme="minorHAnsi"/>
          <w:sz w:val="20"/>
          <w:szCs w:val="20"/>
        </w:rPr>
        <w:t>to 2031, as per CSO forecasts.</w:t>
      </w:r>
      <w:r w:rsidRPr="00A83D1C">
        <w:rPr>
          <w:rStyle w:val="FootnoteReference"/>
          <w:rFonts w:asciiTheme="minorHAnsi" w:hAnsiTheme="minorHAnsi"/>
          <w:sz w:val="20"/>
          <w:szCs w:val="20"/>
        </w:rPr>
        <w:footnoteReference w:id="38"/>
      </w:r>
      <w:r w:rsidRPr="00A83D1C">
        <w:rPr>
          <w:rFonts w:asciiTheme="minorHAnsi" w:hAnsiTheme="minorHAnsi"/>
          <w:sz w:val="20"/>
          <w:szCs w:val="20"/>
        </w:rPr>
        <w:t xml:space="preserve"> Last updated in 2013, the projections are underestimates as the projected population for 2016 was lower than the actual 2016 population, based on Census 2016.</w:t>
      </w:r>
      <w:r w:rsidRPr="00A83D1C">
        <w:rPr>
          <w:rStyle w:val="FootnoteReference"/>
          <w:rFonts w:asciiTheme="minorHAnsi" w:hAnsiTheme="minorHAnsi"/>
          <w:sz w:val="20"/>
          <w:szCs w:val="20"/>
        </w:rPr>
        <w:footnoteReference w:id="39"/>
      </w:r>
      <w:r w:rsidRPr="00A83D1C">
        <w:rPr>
          <w:rFonts w:asciiTheme="minorHAnsi" w:hAnsiTheme="minorHAnsi"/>
          <w:sz w:val="20"/>
          <w:szCs w:val="20"/>
        </w:rPr>
        <w:t xml:space="preserve"> Nonetheless, the general thrust of the forecasts should stand. The CSO forecasts that the population of Dublin is expected to exceed 1.5 million by 2031.</w:t>
      </w:r>
      <w:r w:rsidRPr="00346DCA">
        <w:rPr>
          <w:rFonts w:asciiTheme="minorHAnsi" w:hAnsiTheme="minorHAnsi"/>
        </w:rPr>
        <w:t xml:space="preserve"> </w:t>
      </w:r>
    </w:p>
    <w:p w14:paraId="173E8595" w14:textId="77777777" w:rsidR="00CA6467" w:rsidRDefault="00CA6467" w:rsidP="00CA6467">
      <w:pPr>
        <w:pStyle w:val="DKMBodyText"/>
        <w:rPr>
          <w:rFonts w:asciiTheme="minorHAnsi" w:hAnsiTheme="minorHAnsi"/>
          <w:sz w:val="20"/>
          <w:szCs w:val="20"/>
        </w:rPr>
      </w:pPr>
    </w:p>
    <w:p w14:paraId="201AF361" w14:textId="77777777" w:rsidR="007268B2" w:rsidRDefault="00CA6467" w:rsidP="00CA6467">
      <w:pPr>
        <w:pStyle w:val="DKMTable"/>
        <w:spacing w:before="0" w:after="0"/>
        <w:rPr>
          <w:sz w:val="20"/>
          <w:szCs w:val="20"/>
        </w:rPr>
      </w:pPr>
      <w:bookmarkStart w:id="21" w:name="_Toc478116718"/>
      <w:r w:rsidRPr="00AB215D">
        <w:rPr>
          <w:sz w:val="20"/>
          <w:szCs w:val="20"/>
        </w:rPr>
        <w:t>Regional Population Projections, 2016-2031 (000s)</w:t>
      </w:r>
      <w:bookmarkEnd w:id="21"/>
    </w:p>
    <w:p w14:paraId="50E6792C" w14:textId="44F7A402" w:rsidR="00CA6467" w:rsidRPr="008766F7" w:rsidRDefault="007268B2" w:rsidP="007268B2">
      <w:pPr>
        <w:pStyle w:val="DKMBodyText"/>
        <w:rPr>
          <w:i/>
          <w:sz w:val="20"/>
          <w:szCs w:val="20"/>
        </w:rPr>
      </w:pPr>
      <w:r w:rsidRPr="008766F7">
        <w:rPr>
          <w:i/>
          <w:sz w:val="20"/>
          <w:szCs w:val="20"/>
        </w:rPr>
        <w:t xml:space="preserve"> M2F2 Traditional Scenario</w:t>
      </w:r>
    </w:p>
    <w:tbl>
      <w:tblPr>
        <w:tblStyle w:val="ColorfulList-Accent1"/>
        <w:tblW w:w="7513" w:type="dxa"/>
        <w:tblLook w:val="04A0" w:firstRow="1" w:lastRow="0" w:firstColumn="1" w:lastColumn="0" w:noHBand="0" w:noVBand="1"/>
      </w:tblPr>
      <w:tblGrid>
        <w:gridCol w:w="1560"/>
        <w:gridCol w:w="1300"/>
        <w:gridCol w:w="1109"/>
        <w:gridCol w:w="1134"/>
        <w:gridCol w:w="993"/>
        <w:gridCol w:w="1417"/>
      </w:tblGrid>
      <w:tr w:rsidR="00174CF5" w:rsidRPr="00A83D1C" w14:paraId="2C76DCAC" w14:textId="73080AE7" w:rsidTr="00174CF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4C37762" w14:textId="77777777" w:rsidR="00174CF5" w:rsidRPr="00A83D1C" w:rsidRDefault="00174CF5" w:rsidP="001A376E">
            <w:pPr>
              <w:rPr>
                <w:rFonts w:eastAsia="Times New Roman" w:cs="Times New Roman"/>
                <w:color w:val="FFFFFF"/>
                <w:sz w:val="20"/>
                <w:szCs w:val="20"/>
              </w:rPr>
            </w:pPr>
            <w:r w:rsidRPr="00A83D1C">
              <w:rPr>
                <w:rFonts w:eastAsia="Times New Roman" w:cs="Times New Roman"/>
                <w:color w:val="FFFFFF"/>
                <w:sz w:val="20"/>
                <w:szCs w:val="20"/>
              </w:rPr>
              <w:t>NUTS III Region</w:t>
            </w:r>
          </w:p>
        </w:tc>
        <w:tc>
          <w:tcPr>
            <w:tcW w:w="1300" w:type="dxa"/>
            <w:noWrap/>
            <w:hideMark/>
          </w:tcPr>
          <w:p w14:paraId="49C7C1BE" w14:textId="77777777" w:rsidR="00174CF5" w:rsidRPr="00A83D1C" w:rsidRDefault="00174CF5" w:rsidP="001A376E">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A83D1C">
              <w:rPr>
                <w:rFonts w:eastAsia="Times New Roman" w:cs="Arial"/>
                <w:color w:val="FFFFFF"/>
                <w:sz w:val="20"/>
                <w:szCs w:val="20"/>
              </w:rPr>
              <w:t>2016</w:t>
            </w:r>
          </w:p>
        </w:tc>
        <w:tc>
          <w:tcPr>
            <w:tcW w:w="1109" w:type="dxa"/>
            <w:noWrap/>
            <w:hideMark/>
          </w:tcPr>
          <w:p w14:paraId="0F607962" w14:textId="77777777" w:rsidR="00174CF5" w:rsidRPr="00A83D1C" w:rsidRDefault="00174CF5" w:rsidP="001A376E">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A83D1C">
              <w:rPr>
                <w:rFonts w:eastAsia="Times New Roman" w:cs="Arial"/>
                <w:color w:val="FFFFFF"/>
                <w:sz w:val="20"/>
                <w:szCs w:val="20"/>
              </w:rPr>
              <w:t>2021</w:t>
            </w:r>
          </w:p>
        </w:tc>
        <w:tc>
          <w:tcPr>
            <w:tcW w:w="1134" w:type="dxa"/>
            <w:noWrap/>
            <w:hideMark/>
          </w:tcPr>
          <w:p w14:paraId="031D5289" w14:textId="77777777" w:rsidR="00174CF5" w:rsidRPr="00A83D1C" w:rsidRDefault="00174CF5" w:rsidP="001A376E">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A83D1C">
              <w:rPr>
                <w:rFonts w:eastAsia="Times New Roman" w:cs="Arial"/>
                <w:color w:val="FFFFFF"/>
                <w:sz w:val="20"/>
                <w:szCs w:val="20"/>
              </w:rPr>
              <w:t>2026</w:t>
            </w:r>
          </w:p>
        </w:tc>
        <w:tc>
          <w:tcPr>
            <w:tcW w:w="993" w:type="dxa"/>
            <w:noWrap/>
            <w:hideMark/>
          </w:tcPr>
          <w:p w14:paraId="16F41283" w14:textId="77777777" w:rsidR="00174CF5" w:rsidRPr="00A83D1C" w:rsidRDefault="00174CF5" w:rsidP="001A376E">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sidRPr="00A83D1C">
              <w:rPr>
                <w:rFonts w:eastAsia="Times New Roman" w:cs="Arial"/>
                <w:color w:val="FFFFFF"/>
                <w:sz w:val="20"/>
                <w:szCs w:val="20"/>
              </w:rPr>
              <w:t>2031</w:t>
            </w:r>
          </w:p>
        </w:tc>
        <w:tc>
          <w:tcPr>
            <w:tcW w:w="1417" w:type="dxa"/>
          </w:tcPr>
          <w:p w14:paraId="2E08FADB" w14:textId="77777777" w:rsidR="00174CF5" w:rsidRDefault="00174CF5" w:rsidP="001A376E">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Pr>
                <w:rFonts w:eastAsia="Times New Roman" w:cs="Arial"/>
                <w:color w:val="FFFFFF"/>
                <w:sz w:val="20"/>
                <w:szCs w:val="20"/>
              </w:rPr>
              <w:t>2016-2031</w:t>
            </w:r>
          </w:p>
          <w:p w14:paraId="16973988" w14:textId="0B18A1BC" w:rsidR="00174CF5" w:rsidRPr="00A83D1C" w:rsidRDefault="00174CF5" w:rsidP="001A376E">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0"/>
                <w:szCs w:val="20"/>
              </w:rPr>
            </w:pPr>
            <w:r>
              <w:rPr>
                <w:rFonts w:eastAsia="Times New Roman" w:cs="Arial"/>
                <w:color w:val="FFFFFF"/>
                <w:sz w:val="20"/>
                <w:szCs w:val="20"/>
              </w:rPr>
              <w:t>AAGR %</w:t>
            </w:r>
          </w:p>
        </w:tc>
      </w:tr>
      <w:tr w:rsidR="00174CF5" w:rsidRPr="00A83D1C" w14:paraId="66D24221" w14:textId="4286C264" w:rsidTr="00174C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6FC7BFD" w14:textId="298C6C04" w:rsidR="00174CF5" w:rsidRPr="00A83D1C" w:rsidRDefault="00174CF5" w:rsidP="001A376E">
            <w:pPr>
              <w:rPr>
                <w:rFonts w:eastAsia="Times New Roman" w:cs="Times New Roman"/>
                <w:sz w:val="20"/>
                <w:szCs w:val="20"/>
              </w:rPr>
            </w:pPr>
            <w:r w:rsidRPr="00A83D1C">
              <w:rPr>
                <w:rFonts w:eastAsia="Times New Roman" w:cs="Times New Roman"/>
                <w:sz w:val="20"/>
                <w:szCs w:val="20"/>
              </w:rPr>
              <w:t>Border</w:t>
            </w:r>
          </w:p>
        </w:tc>
        <w:tc>
          <w:tcPr>
            <w:tcW w:w="1300" w:type="dxa"/>
            <w:noWrap/>
            <w:hideMark/>
          </w:tcPr>
          <w:p w14:paraId="7F2D7A04"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518</w:t>
            </w:r>
          </w:p>
        </w:tc>
        <w:tc>
          <w:tcPr>
            <w:tcW w:w="1109" w:type="dxa"/>
            <w:noWrap/>
            <w:hideMark/>
          </w:tcPr>
          <w:p w14:paraId="0EAED4E1"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526</w:t>
            </w:r>
          </w:p>
        </w:tc>
        <w:tc>
          <w:tcPr>
            <w:tcW w:w="1134" w:type="dxa"/>
            <w:noWrap/>
            <w:hideMark/>
          </w:tcPr>
          <w:p w14:paraId="64298517"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531</w:t>
            </w:r>
          </w:p>
        </w:tc>
        <w:tc>
          <w:tcPr>
            <w:tcW w:w="993" w:type="dxa"/>
            <w:noWrap/>
            <w:hideMark/>
          </w:tcPr>
          <w:p w14:paraId="27E3BCE4"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533</w:t>
            </w:r>
          </w:p>
        </w:tc>
        <w:tc>
          <w:tcPr>
            <w:tcW w:w="1417" w:type="dxa"/>
          </w:tcPr>
          <w:p w14:paraId="46DC41B5" w14:textId="33B5080F" w:rsidR="00174CF5" w:rsidRPr="00A83D1C" w:rsidRDefault="004938EF"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0.2</w:t>
            </w:r>
          </w:p>
        </w:tc>
      </w:tr>
      <w:tr w:rsidR="00174CF5" w:rsidRPr="00A83D1C" w14:paraId="7F053AFA" w14:textId="0AD18C42" w:rsidTr="00174CF5">
        <w:trPr>
          <w:trHeight w:val="2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B3FDAE2" w14:textId="77777777" w:rsidR="00174CF5" w:rsidRPr="00A83D1C" w:rsidRDefault="00174CF5" w:rsidP="001A376E">
            <w:pPr>
              <w:rPr>
                <w:rFonts w:eastAsia="Times New Roman" w:cs="Times New Roman"/>
                <w:sz w:val="20"/>
                <w:szCs w:val="20"/>
              </w:rPr>
            </w:pPr>
            <w:r w:rsidRPr="00A83D1C">
              <w:rPr>
                <w:rFonts w:eastAsia="Times New Roman" w:cs="Times New Roman"/>
                <w:sz w:val="20"/>
                <w:szCs w:val="20"/>
              </w:rPr>
              <w:t>Dublin</w:t>
            </w:r>
          </w:p>
        </w:tc>
        <w:tc>
          <w:tcPr>
            <w:tcW w:w="1300" w:type="dxa"/>
            <w:noWrap/>
            <w:hideMark/>
          </w:tcPr>
          <w:p w14:paraId="4BBCE359"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1,297</w:t>
            </w:r>
          </w:p>
        </w:tc>
        <w:tc>
          <w:tcPr>
            <w:tcW w:w="1109" w:type="dxa"/>
            <w:noWrap/>
            <w:hideMark/>
          </w:tcPr>
          <w:p w14:paraId="286A9F9B"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1,373</w:t>
            </w:r>
          </w:p>
        </w:tc>
        <w:tc>
          <w:tcPr>
            <w:tcW w:w="1134" w:type="dxa"/>
            <w:noWrap/>
            <w:hideMark/>
          </w:tcPr>
          <w:p w14:paraId="1D79C1B8"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1,448</w:t>
            </w:r>
          </w:p>
        </w:tc>
        <w:tc>
          <w:tcPr>
            <w:tcW w:w="993" w:type="dxa"/>
            <w:noWrap/>
            <w:hideMark/>
          </w:tcPr>
          <w:p w14:paraId="63098376"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1,519</w:t>
            </w:r>
          </w:p>
        </w:tc>
        <w:tc>
          <w:tcPr>
            <w:tcW w:w="1417" w:type="dxa"/>
          </w:tcPr>
          <w:p w14:paraId="23FE68BD" w14:textId="4302F5E6" w:rsidR="00174CF5" w:rsidRPr="00A83D1C" w:rsidRDefault="004938EF"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1.1</w:t>
            </w:r>
          </w:p>
        </w:tc>
      </w:tr>
      <w:tr w:rsidR="00174CF5" w:rsidRPr="00A83D1C" w14:paraId="00E217E3" w14:textId="7204ED4E" w:rsidTr="00174C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6B4855B" w14:textId="77777777" w:rsidR="00174CF5" w:rsidRPr="00A83D1C" w:rsidRDefault="00174CF5" w:rsidP="001A376E">
            <w:pPr>
              <w:rPr>
                <w:rFonts w:eastAsia="Times New Roman" w:cs="Times New Roman"/>
                <w:sz w:val="20"/>
                <w:szCs w:val="20"/>
              </w:rPr>
            </w:pPr>
            <w:r w:rsidRPr="00A83D1C">
              <w:rPr>
                <w:rFonts w:eastAsia="Times New Roman" w:cs="Times New Roman"/>
                <w:sz w:val="20"/>
                <w:szCs w:val="20"/>
              </w:rPr>
              <w:t>Mid-East</w:t>
            </w:r>
          </w:p>
        </w:tc>
        <w:tc>
          <w:tcPr>
            <w:tcW w:w="1300" w:type="dxa"/>
            <w:noWrap/>
            <w:hideMark/>
          </w:tcPr>
          <w:p w14:paraId="566CA356"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561</w:t>
            </w:r>
          </w:p>
        </w:tc>
        <w:tc>
          <w:tcPr>
            <w:tcW w:w="1109" w:type="dxa"/>
            <w:noWrap/>
            <w:hideMark/>
          </w:tcPr>
          <w:p w14:paraId="20C30BB0"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600</w:t>
            </w:r>
          </w:p>
        </w:tc>
        <w:tc>
          <w:tcPr>
            <w:tcW w:w="1134" w:type="dxa"/>
            <w:noWrap/>
            <w:hideMark/>
          </w:tcPr>
          <w:p w14:paraId="75A4128F"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639</w:t>
            </w:r>
          </w:p>
        </w:tc>
        <w:tc>
          <w:tcPr>
            <w:tcW w:w="993" w:type="dxa"/>
            <w:noWrap/>
            <w:hideMark/>
          </w:tcPr>
          <w:p w14:paraId="3268FDEC"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678</w:t>
            </w:r>
          </w:p>
        </w:tc>
        <w:tc>
          <w:tcPr>
            <w:tcW w:w="1417" w:type="dxa"/>
          </w:tcPr>
          <w:p w14:paraId="4210B096" w14:textId="63A05936" w:rsidR="00174CF5" w:rsidRPr="00A83D1C" w:rsidRDefault="004938EF"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1.3</w:t>
            </w:r>
          </w:p>
        </w:tc>
      </w:tr>
      <w:tr w:rsidR="00174CF5" w:rsidRPr="00A83D1C" w14:paraId="468C2430" w14:textId="15535006" w:rsidTr="00174CF5">
        <w:trPr>
          <w:trHeight w:val="2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CBB0813" w14:textId="77777777" w:rsidR="00174CF5" w:rsidRPr="00A83D1C" w:rsidRDefault="00174CF5" w:rsidP="001A376E">
            <w:pPr>
              <w:rPr>
                <w:rFonts w:eastAsia="Times New Roman" w:cs="Times New Roman"/>
                <w:sz w:val="20"/>
                <w:szCs w:val="20"/>
              </w:rPr>
            </w:pPr>
            <w:r w:rsidRPr="00A83D1C">
              <w:rPr>
                <w:rFonts w:eastAsia="Times New Roman" w:cs="Times New Roman"/>
                <w:sz w:val="20"/>
                <w:szCs w:val="20"/>
              </w:rPr>
              <w:t>Midland</w:t>
            </w:r>
          </w:p>
        </w:tc>
        <w:tc>
          <w:tcPr>
            <w:tcW w:w="1300" w:type="dxa"/>
            <w:noWrap/>
            <w:hideMark/>
          </w:tcPr>
          <w:p w14:paraId="2E31ABFA"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293</w:t>
            </w:r>
          </w:p>
        </w:tc>
        <w:tc>
          <w:tcPr>
            <w:tcW w:w="1109" w:type="dxa"/>
            <w:noWrap/>
            <w:hideMark/>
          </w:tcPr>
          <w:p w14:paraId="429F6A90"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302</w:t>
            </w:r>
          </w:p>
        </w:tc>
        <w:tc>
          <w:tcPr>
            <w:tcW w:w="1134" w:type="dxa"/>
            <w:noWrap/>
            <w:hideMark/>
          </w:tcPr>
          <w:p w14:paraId="78C800DB"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307</w:t>
            </w:r>
          </w:p>
        </w:tc>
        <w:tc>
          <w:tcPr>
            <w:tcW w:w="993" w:type="dxa"/>
            <w:noWrap/>
            <w:hideMark/>
          </w:tcPr>
          <w:p w14:paraId="2BD5DD00"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309</w:t>
            </w:r>
          </w:p>
        </w:tc>
        <w:tc>
          <w:tcPr>
            <w:tcW w:w="1417" w:type="dxa"/>
          </w:tcPr>
          <w:p w14:paraId="3831AE60" w14:textId="198B5299" w:rsidR="00174CF5" w:rsidRPr="00A83D1C" w:rsidRDefault="004938EF"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0.4</w:t>
            </w:r>
          </w:p>
        </w:tc>
      </w:tr>
      <w:tr w:rsidR="00174CF5" w:rsidRPr="00A83D1C" w14:paraId="00F9A207" w14:textId="64FB7B8E" w:rsidTr="00174C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9552174" w14:textId="77777777" w:rsidR="00174CF5" w:rsidRPr="00A83D1C" w:rsidRDefault="00174CF5" w:rsidP="001A376E">
            <w:pPr>
              <w:rPr>
                <w:rFonts w:eastAsia="Times New Roman" w:cs="Times New Roman"/>
                <w:sz w:val="20"/>
                <w:szCs w:val="20"/>
              </w:rPr>
            </w:pPr>
            <w:r w:rsidRPr="00A83D1C">
              <w:rPr>
                <w:rFonts w:eastAsia="Times New Roman" w:cs="Times New Roman"/>
                <w:sz w:val="20"/>
                <w:szCs w:val="20"/>
              </w:rPr>
              <w:t>Mid-West</w:t>
            </w:r>
          </w:p>
        </w:tc>
        <w:tc>
          <w:tcPr>
            <w:tcW w:w="1300" w:type="dxa"/>
            <w:noWrap/>
            <w:hideMark/>
          </w:tcPr>
          <w:p w14:paraId="21F114B7"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383</w:t>
            </w:r>
          </w:p>
        </w:tc>
        <w:tc>
          <w:tcPr>
            <w:tcW w:w="1109" w:type="dxa"/>
            <w:noWrap/>
            <w:hideMark/>
          </w:tcPr>
          <w:p w14:paraId="38B48573"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393</w:t>
            </w:r>
          </w:p>
        </w:tc>
        <w:tc>
          <w:tcPr>
            <w:tcW w:w="1134" w:type="dxa"/>
            <w:noWrap/>
            <w:hideMark/>
          </w:tcPr>
          <w:p w14:paraId="007065DF"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403</w:t>
            </w:r>
          </w:p>
        </w:tc>
        <w:tc>
          <w:tcPr>
            <w:tcW w:w="993" w:type="dxa"/>
            <w:noWrap/>
            <w:hideMark/>
          </w:tcPr>
          <w:p w14:paraId="7300CE5C"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410</w:t>
            </w:r>
          </w:p>
        </w:tc>
        <w:tc>
          <w:tcPr>
            <w:tcW w:w="1417" w:type="dxa"/>
          </w:tcPr>
          <w:p w14:paraId="1EBFD8E5" w14:textId="10EC733A" w:rsidR="00174CF5" w:rsidRPr="00A83D1C" w:rsidRDefault="004938EF"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0.5</w:t>
            </w:r>
          </w:p>
        </w:tc>
      </w:tr>
      <w:tr w:rsidR="00174CF5" w:rsidRPr="00A83D1C" w14:paraId="310B7997" w14:textId="40F088A8" w:rsidTr="00174CF5">
        <w:trPr>
          <w:trHeight w:val="2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3C99647" w14:textId="77777777" w:rsidR="00174CF5" w:rsidRPr="00A83D1C" w:rsidRDefault="00174CF5" w:rsidP="001A376E">
            <w:pPr>
              <w:rPr>
                <w:rFonts w:eastAsia="Times New Roman" w:cs="Times New Roman"/>
                <w:sz w:val="20"/>
                <w:szCs w:val="20"/>
              </w:rPr>
            </w:pPr>
            <w:r w:rsidRPr="00A83D1C">
              <w:rPr>
                <w:rFonts w:eastAsia="Times New Roman" w:cs="Times New Roman"/>
                <w:sz w:val="20"/>
                <w:szCs w:val="20"/>
              </w:rPr>
              <w:t>South-East</w:t>
            </w:r>
          </w:p>
        </w:tc>
        <w:tc>
          <w:tcPr>
            <w:tcW w:w="1300" w:type="dxa"/>
            <w:noWrap/>
            <w:hideMark/>
          </w:tcPr>
          <w:p w14:paraId="6796C9F4"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514</w:t>
            </w:r>
          </w:p>
        </w:tc>
        <w:tc>
          <w:tcPr>
            <w:tcW w:w="1109" w:type="dxa"/>
            <w:noWrap/>
            <w:hideMark/>
          </w:tcPr>
          <w:p w14:paraId="1ECE88C4"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531</w:t>
            </w:r>
          </w:p>
        </w:tc>
        <w:tc>
          <w:tcPr>
            <w:tcW w:w="1134" w:type="dxa"/>
            <w:noWrap/>
            <w:hideMark/>
          </w:tcPr>
          <w:p w14:paraId="746189BD"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542</w:t>
            </w:r>
          </w:p>
        </w:tc>
        <w:tc>
          <w:tcPr>
            <w:tcW w:w="993" w:type="dxa"/>
            <w:noWrap/>
            <w:hideMark/>
          </w:tcPr>
          <w:p w14:paraId="5CEDFCE3"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550</w:t>
            </w:r>
          </w:p>
        </w:tc>
        <w:tc>
          <w:tcPr>
            <w:tcW w:w="1417" w:type="dxa"/>
          </w:tcPr>
          <w:p w14:paraId="66B76919" w14:textId="5A0D4206" w:rsidR="00174CF5" w:rsidRPr="00A83D1C" w:rsidRDefault="004938EF"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0.5</w:t>
            </w:r>
          </w:p>
        </w:tc>
      </w:tr>
      <w:tr w:rsidR="00174CF5" w:rsidRPr="00A83D1C" w14:paraId="335EE960" w14:textId="2547DCA5" w:rsidTr="00174C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04469A1" w14:textId="77777777" w:rsidR="00174CF5" w:rsidRPr="00A83D1C" w:rsidRDefault="00174CF5" w:rsidP="001A376E">
            <w:pPr>
              <w:rPr>
                <w:rFonts w:eastAsia="Times New Roman" w:cs="Times New Roman"/>
                <w:sz w:val="20"/>
                <w:szCs w:val="20"/>
              </w:rPr>
            </w:pPr>
            <w:r w:rsidRPr="00A83D1C">
              <w:rPr>
                <w:rFonts w:eastAsia="Times New Roman" w:cs="Times New Roman"/>
                <w:sz w:val="20"/>
                <w:szCs w:val="20"/>
              </w:rPr>
              <w:t>South-West</w:t>
            </w:r>
          </w:p>
        </w:tc>
        <w:tc>
          <w:tcPr>
            <w:tcW w:w="1300" w:type="dxa"/>
            <w:noWrap/>
            <w:hideMark/>
          </w:tcPr>
          <w:p w14:paraId="7B94FBCF"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678</w:t>
            </w:r>
          </w:p>
        </w:tc>
        <w:tc>
          <w:tcPr>
            <w:tcW w:w="1109" w:type="dxa"/>
            <w:noWrap/>
            <w:hideMark/>
          </w:tcPr>
          <w:p w14:paraId="1D8D287E"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701</w:t>
            </w:r>
          </w:p>
        </w:tc>
        <w:tc>
          <w:tcPr>
            <w:tcW w:w="1134" w:type="dxa"/>
            <w:noWrap/>
            <w:hideMark/>
          </w:tcPr>
          <w:p w14:paraId="4B5719A7"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719</w:t>
            </w:r>
          </w:p>
        </w:tc>
        <w:tc>
          <w:tcPr>
            <w:tcW w:w="993" w:type="dxa"/>
            <w:noWrap/>
            <w:hideMark/>
          </w:tcPr>
          <w:p w14:paraId="677FF821" w14:textId="77777777" w:rsidR="00174CF5" w:rsidRPr="00A83D1C"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733</w:t>
            </w:r>
          </w:p>
        </w:tc>
        <w:tc>
          <w:tcPr>
            <w:tcW w:w="1417" w:type="dxa"/>
          </w:tcPr>
          <w:p w14:paraId="50E86362" w14:textId="49AAC4BC" w:rsidR="00174CF5" w:rsidRPr="00A83D1C" w:rsidRDefault="004938EF"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0.5</w:t>
            </w:r>
          </w:p>
        </w:tc>
      </w:tr>
      <w:tr w:rsidR="00174CF5" w:rsidRPr="00A83D1C" w14:paraId="2A571361" w14:textId="7E397E57" w:rsidTr="00174CF5">
        <w:trPr>
          <w:trHeight w:val="2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B2BC41E" w14:textId="77777777" w:rsidR="00174CF5" w:rsidRPr="00A83D1C" w:rsidRDefault="00174CF5" w:rsidP="001A376E">
            <w:pPr>
              <w:rPr>
                <w:rFonts w:eastAsia="Times New Roman" w:cs="Times New Roman"/>
                <w:sz w:val="20"/>
                <w:szCs w:val="20"/>
              </w:rPr>
            </w:pPr>
            <w:r w:rsidRPr="00A83D1C">
              <w:rPr>
                <w:rFonts w:eastAsia="Times New Roman" w:cs="Times New Roman"/>
                <w:sz w:val="20"/>
                <w:szCs w:val="20"/>
              </w:rPr>
              <w:t>West</w:t>
            </w:r>
          </w:p>
        </w:tc>
        <w:tc>
          <w:tcPr>
            <w:tcW w:w="1300" w:type="dxa"/>
            <w:noWrap/>
            <w:hideMark/>
          </w:tcPr>
          <w:p w14:paraId="390F8E3D"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443</w:t>
            </w:r>
          </w:p>
        </w:tc>
        <w:tc>
          <w:tcPr>
            <w:tcW w:w="1109" w:type="dxa"/>
            <w:noWrap/>
            <w:hideMark/>
          </w:tcPr>
          <w:p w14:paraId="24D07DBF"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451</w:t>
            </w:r>
          </w:p>
        </w:tc>
        <w:tc>
          <w:tcPr>
            <w:tcW w:w="1134" w:type="dxa"/>
            <w:noWrap/>
            <w:hideMark/>
          </w:tcPr>
          <w:p w14:paraId="6D74DC14"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455</w:t>
            </w:r>
          </w:p>
        </w:tc>
        <w:tc>
          <w:tcPr>
            <w:tcW w:w="993" w:type="dxa"/>
            <w:noWrap/>
            <w:hideMark/>
          </w:tcPr>
          <w:p w14:paraId="372BE759" w14:textId="77777777" w:rsidR="00174CF5" w:rsidRPr="00A83D1C" w:rsidRDefault="00174CF5"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A83D1C">
              <w:rPr>
                <w:rFonts w:eastAsia="Times New Roman" w:cs="Arial"/>
                <w:color w:val="000000"/>
                <w:sz w:val="20"/>
                <w:szCs w:val="20"/>
              </w:rPr>
              <w:t>456</w:t>
            </w:r>
          </w:p>
        </w:tc>
        <w:tc>
          <w:tcPr>
            <w:tcW w:w="1417" w:type="dxa"/>
          </w:tcPr>
          <w:p w14:paraId="7EB0C457" w14:textId="374A30FF" w:rsidR="00174CF5" w:rsidRPr="00A83D1C" w:rsidRDefault="004938EF" w:rsidP="001A376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0.2</w:t>
            </w:r>
          </w:p>
        </w:tc>
      </w:tr>
      <w:tr w:rsidR="00174CF5" w:rsidRPr="00174CF5" w14:paraId="41D65F7B" w14:textId="5E693DCE" w:rsidTr="00174C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98F461B" w14:textId="77777777" w:rsidR="00174CF5" w:rsidRPr="00174CF5" w:rsidRDefault="00174CF5" w:rsidP="001A376E">
            <w:pPr>
              <w:rPr>
                <w:rFonts w:eastAsia="Times New Roman" w:cs="Times New Roman"/>
                <w:b/>
                <w:sz w:val="20"/>
                <w:szCs w:val="20"/>
              </w:rPr>
            </w:pPr>
            <w:r w:rsidRPr="00174CF5">
              <w:rPr>
                <w:rFonts w:eastAsia="Times New Roman" w:cs="Times New Roman"/>
                <w:b/>
                <w:sz w:val="20"/>
                <w:szCs w:val="20"/>
              </w:rPr>
              <w:t>State</w:t>
            </w:r>
          </w:p>
        </w:tc>
        <w:tc>
          <w:tcPr>
            <w:tcW w:w="1300" w:type="dxa"/>
            <w:noWrap/>
            <w:hideMark/>
          </w:tcPr>
          <w:p w14:paraId="388159CB" w14:textId="502E390A" w:rsidR="00174CF5" w:rsidRPr="00174CF5"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Pr>
                <w:rFonts w:eastAsia="Times New Roman" w:cs="Arial"/>
                <w:b/>
                <w:color w:val="000000"/>
                <w:sz w:val="20"/>
                <w:szCs w:val="20"/>
              </w:rPr>
              <w:t xml:space="preserve">  </w:t>
            </w:r>
            <w:r w:rsidRPr="00174CF5">
              <w:rPr>
                <w:rFonts w:eastAsia="Times New Roman" w:cs="Arial"/>
                <w:b/>
                <w:color w:val="000000"/>
                <w:sz w:val="20"/>
                <w:szCs w:val="20"/>
              </w:rPr>
              <w:t>4,687</w:t>
            </w:r>
            <w:r>
              <w:rPr>
                <w:rFonts w:eastAsia="Times New Roman" w:cs="Arial"/>
                <w:b/>
                <w:color w:val="000000"/>
                <w:sz w:val="20"/>
                <w:szCs w:val="20"/>
              </w:rPr>
              <w:t>*</w:t>
            </w:r>
          </w:p>
        </w:tc>
        <w:tc>
          <w:tcPr>
            <w:tcW w:w="1109" w:type="dxa"/>
            <w:noWrap/>
            <w:hideMark/>
          </w:tcPr>
          <w:p w14:paraId="555E8E5F" w14:textId="77777777" w:rsidR="00174CF5" w:rsidRPr="00174CF5"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174CF5">
              <w:rPr>
                <w:rFonts w:eastAsia="Times New Roman" w:cs="Arial"/>
                <w:b/>
                <w:color w:val="000000"/>
                <w:sz w:val="20"/>
                <w:szCs w:val="20"/>
              </w:rPr>
              <w:t>4,876</w:t>
            </w:r>
          </w:p>
        </w:tc>
        <w:tc>
          <w:tcPr>
            <w:tcW w:w="1134" w:type="dxa"/>
            <w:noWrap/>
            <w:hideMark/>
          </w:tcPr>
          <w:p w14:paraId="2788B33F" w14:textId="77777777" w:rsidR="00174CF5" w:rsidRPr="00174CF5"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174CF5">
              <w:rPr>
                <w:rFonts w:eastAsia="Times New Roman" w:cs="Arial"/>
                <w:b/>
                <w:color w:val="000000"/>
                <w:sz w:val="20"/>
                <w:szCs w:val="20"/>
              </w:rPr>
              <w:t>5,044</w:t>
            </w:r>
          </w:p>
        </w:tc>
        <w:tc>
          <w:tcPr>
            <w:tcW w:w="993" w:type="dxa"/>
            <w:noWrap/>
            <w:hideMark/>
          </w:tcPr>
          <w:p w14:paraId="42513E78" w14:textId="77777777" w:rsidR="00174CF5" w:rsidRPr="00174CF5" w:rsidRDefault="00174CF5"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sidRPr="00174CF5">
              <w:rPr>
                <w:rFonts w:eastAsia="Times New Roman" w:cs="Arial"/>
                <w:b/>
                <w:color w:val="000000"/>
                <w:sz w:val="20"/>
                <w:szCs w:val="20"/>
              </w:rPr>
              <w:t>5,188</w:t>
            </w:r>
          </w:p>
        </w:tc>
        <w:tc>
          <w:tcPr>
            <w:tcW w:w="1417" w:type="dxa"/>
          </w:tcPr>
          <w:p w14:paraId="0674FFF3" w14:textId="3446722A" w:rsidR="00174CF5" w:rsidRPr="00174CF5" w:rsidRDefault="004938EF" w:rsidP="001A376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rPr>
            </w:pPr>
            <w:r>
              <w:rPr>
                <w:rFonts w:eastAsia="Times New Roman" w:cs="Arial"/>
                <w:b/>
                <w:color w:val="000000"/>
                <w:sz w:val="20"/>
                <w:szCs w:val="20"/>
              </w:rPr>
              <w:t>0.7</w:t>
            </w:r>
          </w:p>
        </w:tc>
      </w:tr>
    </w:tbl>
    <w:p w14:paraId="5819BC03" w14:textId="0CAF3379" w:rsidR="00CA6467" w:rsidRDefault="00CA6467" w:rsidP="00174CF5">
      <w:pPr>
        <w:pStyle w:val="DKMBodyText"/>
        <w:spacing w:line="240" w:lineRule="auto"/>
        <w:rPr>
          <w:rFonts w:asciiTheme="minorHAnsi" w:hAnsiTheme="minorHAnsi"/>
          <w:sz w:val="18"/>
          <w:szCs w:val="18"/>
        </w:rPr>
      </w:pPr>
      <w:r w:rsidRPr="00CA6467">
        <w:rPr>
          <w:rFonts w:asciiTheme="minorHAnsi" w:hAnsiTheme="minorHAnsi"/>
          <w:sz w:val="18"/>
          <w:szCs w:val="18"/>
        </w:rPr>
        <w:t xml:space="preserve">Source: CSO </w:t>
      </w:r>
      <w:r w:rsidR="00DC3E16">
        <w:rPr>
          <w:rFonts w:asciiTheme="minorHAnsi" w:hAnsiTheme="minorHAnsi"/>
          <w:sz w:val="18"/>
          <w:szCs w:val="18"/>
        </w:rPr>
        <w:t xml:space="preserve">Regional </w:t>
      </w:r>
      <w:r w:rsidRPr="00CA6467">
        <w:rPr>
          <w:rFonts w:asciiTheme="minorHAnsi" w:hAnsiTheme="minorHAnsi"/>
          <w:sz w:val="18"/>
          <w:szCs w:val="18"/>
        </w:rPr>
        <w:t>Population Projections (Dec 2013)</w:t>
      </w:r>
      <w:r w:rsidR="008E1B3D">
        <w:rPr>
          <w:rFonts w:asciiTheme="minorHAnsi" w:hAnsiTheme="minorHAnsi"/>
          <w:sz w:val="18"/>
          <w:szCs w:val="18"/>
        </w:rPr>
        <w:t>.</w:t>
      </w:r>
      <w:r w:rsidR="00174CF5">
        <w:rPr>
          <w:rFonts w:asciiTheme="minorHAnsi" w:hAnsiTheme="minorHAnsi"/>
          <w:sz w:val="18"/>
          <w:szCs w:val="18"/>
        </w:rPr>
        <w:t xml:space="preserve"> * Actual 2016 Population = 4.758 million.</w:t>
      </w:r>
    </w:p>
    <w:p w14:paraId="4B015953" w14:textId="0DCCAF8E" w:rsidR="00174CF5" w:rsidRPr="00CA6467" w:rsidRDefault="00174CF5" w:rsidP="00174CF5">
      <w:pPr>
        <w:pStyle w:val="DKMBodyText"/>
        <w:spacing w:line="240" w:lineRule="auto"/>
        <w:rPr>
          <w:rFonts w:asciiTheme="minorHAnsi" w:hAnsiTheme="minorHAnsi"/>
          <w:sz w:val="18"/>
          <w:szCs w:val="18"/>
        </w:rPr>
      </w:pPr>
      <w:r>
        <w:rPr>
          <w:rFonts w:asciiTheme="minorHAnsi" w:hAnsiTheme="minorHAnsi"/>
          <w:sz w:val="18"/>
          <w:szCs w:val="18"/>
        </w:rPr>
        <w:t>AAGR = Average annual growth rate.</w:t>
      </w:r>
    </w:p>
    <w:p w14:paraId="6E4EA01F" w14:textId="77777777" w:rsidR="00CA6467" w:rsidRPr="00AB215D" w:rsidRDefault="00CA6467" w:rsidP="00CA6467">
      <w:pPr>
        <w:pStyle w:val="DKMBodyText"/>
        <w:rPr>
          <w:rFonts w:asciiTheme="minorHAnsi" w:hAnsiTheme="minorHAnsi"/>
          <w:sz w:val="20"/>
          <w:szCs w:val="20"/>
        </w:rPr>
      </w:pPr>
    </w:p>
    <w:p w14:paraId="55FDFB74" w14:textId="5FBC5E80" w:rsidR="00CA6467" w:rsidRPr="00AE3405" w:rsidRDefault="00CA6467" w:rsidP="00AE3405">
      <w:pPr>
        <w:pStyle w:val="DKMBodyText"/>
        <w:rPr>
          <w:rFonts w:asciiTheme="minorHAnsi" w:hAnsiTheme="minorHAnsi"/>
          <w:sz w:val="20"/>
          <w:szCs w:val="20"/>
        </w:rPr>
      </w:pPr>
      <w:r w:rsidRPr="00AB215D">
        <w:rPr>
          <w:rFonts w:asciiTheme="minorHAnsi" w:hAnsiTheme="minorHAnsi"/>
          <w:sz w:val="20"/>
          <w:szCs w:val="20"/>
        </w:rPr>
        <w:t>Given that the CSO’s projection</w:t>
      </w:r>
      <w:r w:rsidR="00AE3405">
        <w:rPr>
          <w:rFonts w:asciiTheme="minorHAnsi" w:hAnsiTheme="minorHAnsi"/>
          <w:sz w:val="20"/>
          <w:szCs w:val="20"/>
        </w:rPr>
        <w:t>s</w:t>
      </w:r>
      <w:r w:rsidRPr="00AB215D">
        <w:rPr>
          <w:rFonts w:asciiTheme="minorHAnsi" w:hAnsiTheme="minorHAnsi"/>
          <w:sz w:val="20"/>
          <w:szCs w:val="20"/>
        </w:rPr>
        <w:t xml:space="preserve"> were made during a period of economic decline, it is not unreasonable to expect higher rates of population growth over the coming years, in particular due to Dublin’s recent strong economic performance. This could be driven by returning emigrants, the immigration of non-nationals, and a higher birth rate.</w:t>
      </w:r>
      <w:r w:rsidR="00C8626B">
        <w:rPr>
          <w:rFonts w:asciiTheme="minorHAnsi" w:hAnsiTheme="minorHAnsi"/>
          <w:sz w:val="20"/>
          <w:szCs w:val="20"/>
        </w:rPr>
        <w:t xml:space="preserve"> </w:t>
      </w:r>
      <w:r w:rsidRPr="00AB215D">
        <w:rPr>
          <w:rFonts w:asciiTheme="minorHAnsi" w:hAnsiTheme="minorHAnsi"/>
          <w:sz w:val="20"/>
          <w:szCs w:val="20"/>
        </w:rPr>
        <w:t xml:space="preserve">In that context, we consider the CSO’s estimates for regional population growth to be an underestimate. Infrastructure planning that relies solely on such projections may miss underlying ‘live’ developments, in particular with respect to net migration. We encourage </w:t>
      </w:r>
      <w:r w:rsidRPr="00AE3405">
        <w:rPr>
          <w:rFonts w:asciiTheme="minorHAnsi" w:hAnsiTheme="minorHAnsi"/>
          <w:sz w:val="20"/>
          <w:szCs w:val="20"/>
        </w:rPr>
        <w:t xml:space="preserve">recognition of this in planning for capital investment over the coming years. </w:t>
      </w:r>
    </w:p>
    <w:p w14:paraId="19C29FB4" w14:textId="77777777" w:rsidR="007E0916" w:rsidRPr="008C6E49" w:rsidRDefault="007E0916" w:rsidP="007E0916">
      <w:pPr>
        <w:pStyle w:val="DKM2"/>
        <w:spacing w:line="276" w:lineRule="auto"/>
        <w:rPr>
          <w:rFonts w:asciiTheme="minorHAnsi" w:hAnsiTheme="minorHAnsi"/>
        </w:rPr>
      </w:pPr>
      <w:bookmarkStart w:id="22" w:name="_Toc474830485"/>
      <w:bookmarkStart w:id="23" w:name="_Toc478116689"/>
      <w:r w:rsidRPr="008C6E49">
        <w:rPr>
          <w:rFonts w:asciiTheme="minorHAnsi" w:hAnsiTheme="minorHAnsi"/>
        </w:rPr>
        <w:t>Addressing Long-Term Infrastructure Planning</w:t>
      </w:r>
      <w:bookmarkEnd w:id="22"/>
      <w:bookmarkEnd w:id="23"/>
    </w:p>
    <w:p w14:paraId="4B945F7A" w14:textId="0AE3BA44" w:rsidR="00960B61" w:rsidRPr="008E2605" w:rsidRDefault="006A5CF7" w:rsidP="00826017">
      <w:pPr>
        <w:pStyle w:val="DKMBodyText"/>
        <w:rPr>
          <w:rFonts w:asciiTheme="minorHAnsi" w:hAnsiTheme="minorHAnsi"/>
          <w:sz w:val="20"/>
          <w:szCs w:val="20"/>
        </w:rPr>
      </w:pPr>
      <w:r>
        <w:rPr>
          <w:rFonts w:asciiTheme="minorHAnsi" w:hAnsiTheme="minorHAnsi"/>
          <w:sz w:val="20"/>
          <w:szCs w:val="20"/>
        </w:rPr>
        <w:t>The delivery of an efficient roll out of much needed infrastructure on time and within budget should be central to infrastructure planning</w:t>
      </w:r>
      <w:r w:rsidR="008E2605">
        <w:rPr>
          <w:rFonts w:asciiTheme="minorHAnsi" w:hAnsiTheme="minorHAnsi"/>
          <w:sz w:val="20"/>
          <w:szCs w:val="20"/>
        </w:rPr>
        <w:t xml:space="preserve"> in</w:t>
      </w:r>
      <w:r>
        <w:rPr>
          <w:rFonts w:asciiTheme="minorHAnsi" w:hAnsiTheme="minorHAnsi"/>
          <w:sz w:val="20"/>
          <w:szCs w:val="20"/>
        </w:rPr>
        <w:t xml:space="preserve"> the long-term. Current responsibility for planning rest</w:t>
      </w:r>
      <w:r w:rsidR="00960B61">
        <w:rPr>
          <w:rFonts w:asciiTheme="minorHAnsi" w:hAnsiTheme="minorHAnsi"/>
          <w:sz w:val="20"/>
          <w:szCs w:val="20"/>
        </w:rPr>
        <w:t>s</w:t>
      </w:r>
      <w:r>
        <w:rPr>
          <w:rFonts w:asciiTheme="minorHAnsi" w:hAnsiTheme="minorHAnsi"/>
          <w:sz w:val="20"/>
          <w:szCs w:val="20"/>
        </w:rPr>
        <w:t xml:space="preserve"> with a number of stakeholders</w:t>
      </w:r>
      <w:r w:rsidR="00960B61">
        <w:rPr>
          <w:rFonts w:asciiTheme="minorHAnsi" w:hAnsiTheme="minorHAnsi"/>
          <w:sz w:val="20"/>
          <w:szCs w:val="20"/>
        </w:rPr>
        <w:t xml:space="preserve"> including government departments, regulators, local and regional authorities and state agencies. Seperately the PPP process can involve a lengthy pre-procurement process as well as additional stakeholders. The current approach to planning is described by the National Competitiveness Council </w:t>
      </w:r>
      <w:r w:rsidR="008E2605">
        <w:rPr>
          <w:rFonts w:asciiTheme="minorHAnsi" w:hAnsiTheme="minorHAnsi"/>
          <w:sz w:val="20"/>
          <w:szCs w:val="20"/>
        </w:rPr>
        <w:t xml:space="preserve">(NCC) </w:t>
      </w:r>
      <w:r w:rsidR="00960B61">
        <w:rPr>
          <w:rFonts w:asciiTheme="minorHAnsi" w:hAnsiTheme="minorHAnsi"/>
          <w:sz w:val="20"/>
          <w:szCs w:val="20"/>
        </w:rPr>
        <w:t xml:space="preserve">as one which is </w:t>
      </w:r>
      <w:r w:rsidR="00960B61">
        <w:rPr>
          <w:sz w:val="20"/>
          <w:szCs w:val="20"/>
        </w:rPr>
        <w:t>characterised by “</w:t>
      </w:r>
      <w:r w:rsidR="00960B61" w:rsidRPr="008E2605">
        <w:rPr>
          <w:i/>
          <w:sz w:val="20"/>
          <w:szCs w:val="20"/>
        </w:rPr>
        <w:t>fragmented planning and coordination”</w:t>
      </w:r>
      <w:r w:rsidR="00960B61">
        <w:rPr>
          <w:sz w:val="20"/>
          <w:szCs w:val="20"/>
        </w:rPr>
        <w:t xml:space="preserve"> which </w:t>
      </w:r>
      <w:r w:rsidR="00960B61" w:rsidRPr="008E2605">
        <w:rPr>
          <w:i/>
          <w:sz w:val="20"/>
          <w:szCs w:val="20"/>
        </w:rPr>
        <w:t xml:space="preserve">“can contribute to cost overruns and </w:t>
      </w:r>
      <w:r w:rsidR="00960B61" w:rsidRPr="008E2605">
        <w:rPr>
          <w:rFonts w:asciiTheme="minorHAnsi" w:hAnsiTheme="minorHAnsi"/>
          <w:i/>
          <w:sz w:val="20"/>
          <w:szCs w:val="20"/>
        </w:rPr>
        <w:t>delays, duplication of resources and weaken the ability to prioritise projects and locations for capital investment.</w:t>
      </w:r>
      <w:r w:rsidR="008E2605" w:rsidRPr="008E2605">
        <w:rPr>
          <w:rFonts w:asciiTheme="minorHAnsi" w:hAnsiTheme="minorHAnsi"/>
          <w:i/>
          <w:sz w:val="20"/>
          <w:szCs w:val="20"/>
        </w:rPr>
        <w:t>”</w:t>
      </w:r>
      <w:r w:rsidR="008E2605" w:rsidRPr="008E2605">
        <w:rPr>
          <w:rStyle w:val="FootnoteReference"/>
          <w:rFonts w:asciiTheme="minorHAnsi" w:hAnsiTheme="minorHAnsi"/>
          <w:i/>
          <w:sz w:val="20"/>
          <w:szCs w:val="20"/>
        </w:rPr>
        <w:footnoteReference w:id="40"/>
      </w:r>
      <w:r w:rsidR="00960B61" w:rsidRPr="008E2605">
        <w:rPr>
          <w:rFonts w:asciiTheme="minorHAnsi" w:hAnsiTheme="minorHAnsi"/>
          <w:i/>
          <w:sz w:val="20"/>
          <w:szCs w:val="20"/>
        </w:rPr>
        <w:t xml:space="preserve"> </w:t>
      </w:r>
    </w:p>
    <w:p w14:paraId="5A65B829" w14:textId="77777777" w:rsidR="00960B61" w:rsidRPr="008E2605" w:rsidRDefault="00960B61" w:rsidP="008E2605">
      <w:pPr>
        <w:pStyle w:val="DKMBodyText"/>
        <w:rPr>
          <w:rFonts w:asciiTheme="minorHAnsi" w:hAnsiTheme="minorHAnsi"/>
          <w:sz w:val="20"/>
          <w:szCs w:val="20"/>
        </w:rPr>
      </w:pPr>
    </w:p>
    <w:p w14:paraId="176FC700" w14:textId="4D9D5A63" w:rsidR="008E2605" w:rsidRPr="00E42D14" w:rsidRDefault="008E2605" w:rsidP="008E2605">
      <w:pPr>
        <w:pStyle w:val="Default"/>
        <w:spacing w:line="280" w:lineRule="atLeast"/>
        <w:jc w:val="both"/>
        <w:rPr>
          <w:rFonts w:asciiTheme="minorHAnsi" w:eastAsiaTheme="minorEastAsia" w:hAnsiTheme="minorHAnsi" w:cs="Corbel"/>
          <w:sz w:val="20"/>
          <w:szCs w:val="20"/>
          <w:lang w:eastAsia="en-IE"/>
        </w:rPr>
      </w:pPr>
      <w:r w:rsidRPr="008E2605">
        <w:rPr>
          <w:rFonts w:asciiTheme="minorHAnsi" w:hAnsiTheme="minorHAnsi"/>
          <w:sz w:val="20"/>
          <w:szCs w:val="20"/>
        </w:rPr>
        <w:t xml:space="preserve">The NCC calls for an effective, integrated and coherent approach to State led infrastructure planning and delivery which could facilitate improved efficiency and enhance the effectiveness of capital investment at minimum cost.  In this regard, it recommends that </w:t>
      </w:r>
      <w:r w:rsidR="00826017">
        <w:rPr>
          <w:rFonts w:asciiTheme="minorHAnsi" w:hAnsiTheme="minorHAnsi"/>
          <w:sz w:val="20"/>
          <w:szCs w:val="20"/>
        </w:rPr>
        <w:t>the Department of Public Expenditure and Reform (</w:t>
      </w:r>
      <w:r w:rsidR="00404842">
        <w:rPr>
          <w:rFonts w:asciiTheme="minorHAnsi" w:hAnsiTheme="minorHAnsi"/>
          <w:sz w:val="20"/>
          <w:szCs w:val="20"/>
        </w:rPr>
        <w:t>DPER</w:t>
      </w:r>
      <w:r w:rsidR="00826017">
        <w:rPr>
          <w:rFonts w:asciiTheme="minorHAnsi" w:hAnsiTheme="minorHAnsi"/>
          <w:sz w:val="20"/>
          <w:szCs w:val="20"/>
        </w:rPr>
        <w:t>)</w:t>
      </w:r>
      <w:r>
        <w:rPr>
          <w:rFonts w:asciiTheme="minorHAnsi" w:hAnsiTheme="minorHAnsi"/>
          <w:sz w:val="20"/>
          <w:szCs w:val="20"/>
        </w:rPr>
        <w:t xml:space="preserve"> should undertake a r</w:t>
      </w:r>
      <w:r w:rsidRPr="008E2605">
        <w:rPr>
          <w:rFonts w:asciiTheme="minorHAnsi" w:eastAsiaTheme="minorEastAsia" w:hAnsiTheme="minorHAnsi" w:cs="Corbel"/>
          <w:sz w:val="20"/>
          <w:szCs w:val="20"/>
          <w:lang w:eastAsia="en-IE"/>
        </w:rPr>
        <w:t xml:space="preserve">eview </w:t>
      </w:r>
      <w:r>
        <w:rPr>
          <w:rFonts w:asciiTheme="minorHAnsi" w:eastAsiaTheme="minorEastAsia" w:hAnsiTheme="minorHAnsi" w:cs="Corbel"/>
          <w:sz w:val="20"/>
          <w:szCs w:val="20"/>
          <w:lang w:eastAsia="en-IE"/>
        </w:rPr>
        <w:t xml:space="preserve">of </w:t>
      </w:r>
      <w:r w:rsidRPr="008E2605">
        <w:rPr>
          <w:rFonts w:asciiTheme="minorHAnsi" w:eastAsiaTheme="minorEastAsia" w:hAnsiTheme="minorHAnsi" w:cs="Corbel"/>
          <w:sz w:val="20"/>
          <w:szCs w:val="20"/>
          <w:lang w:eastAsia="en-IE"/>
        </w:rPr>
        <w:t xml:space="preserve">how other advanced economies coordinate and deliver capital investment and </w:t>
      </w:r>
      <w:r>
        <w:rPr>
          <w:rFonts w:asciiTheme="minorHAnsi" w:eastAsiaTheme="minorEastAsia" w:hAnsiTheme="minorHAnsi" w:cs="Corbel"/>
          <w:sz w:val="20"/>
          <w:szCs w:val="20"/>
          <w:lang w:eastAsia="en-IE"/>
        </w:rPr>
        <w:t xml:space="preserve">should </w:t>
      </w:r>
      <w:r w:rsidRPr="008E2605">
        <w:rPr>
          <w:rFonts w:asciiTheme="minorHAnsi" w:eastAsiaTheme="minorEastAsia" w:hAnsiTheme="minorHAnsi" w:cs="Corbel"/>
          <w:sz w:val="20"/>
          <w:szCs w:val="20"/>
          <w:lang w:eastAsia="en-IE"/>
        </w:rPr>
        <w:t xml:space="preserve">identify best practice in terms of the institutional framework </w:t>
      </w:r>
      <w:r w:rsidRPr="00E42D14">
        <w:rPr>
          <w:rFonts w:asciiTheme="minorHAnsi" w:eastAsiaTheme="minorEastAsia" w:hAnsiTheme="minorHAnsi" w:cs="Corbel"/>
          <w:sz w:val="20"/>
          <w:szCs w:val="20"/>
          <w:lang w:eastAsia="en-IE"/>
        </w:rPr>
        <w:t xml:space="preserve">for capital infrastructure investment. </w:t>
      </w:r>
    </w:p>
    <w:p w14:paraId="18C1C527" w14:textId="77777777" w:rsidR="00E42D14" w:rsidRPr="00E42D14" w:rsidRDefault="00E42D14" w:rsidP="008E2605">
      <w:pPr>
        <w:pStyle w:val="Default"/>
        <w:spacing w:line="280" w:lineRule="atLeast"/>
        <w:jc w:val="both"/>
        <w:rPr>
          <w:rFonts w:asciiTheme="minorHAnsi" w:eastAsiaTheme="minorEastAsia" w:hAnsiTheme="minorHAnsi" w:cs="Corbel"/>
          <w:sz w:val="20"/>
          <w:szCs w:val="20"/>
          <w:lang w:eastAsia="en-IE"/>
        </w:rPr>
      </w:pPr>
    </w:p>
    <w:p w14:paraId="50D7AA51" w14:textId="5AEBD55A" w:rsidR="00E42D14" w:rsidRPr="00E42D14" w:rsidRDefault="00E42D14" w:rsidP="00E42D14">
      <w:pPr>
        <w:rPr>
          <w:sz w:val="20"/>
          <w:szCs w:val="20"/>
        </w:rPr>
      </w:pPr>
      <w:r w:rsidRPr="00E42D14">
        <w:rPr>
          <w:sz w:val="20"/>
          <w:szCs w:val="20"/>
        </w:rPr>
        <w:t xml:space="preserve"> A long lead in process applies to development </w:t>
      </w:r>
      <w:r>
        <w:rPr>
          <w:sz w:val="20"/>
          <w:szCs w:val="20"/>
        </w:rPr>
        <w:t xml:space="preserve">of </w:t>
      </w:r>
      <w:r w:rsidRPr="00E42D14">
        <w:rPr>
          <w:sz w:val="20"/>
          <w:szCs w:val="20"/>
        </w:rPr>
        <w:t>any major infrastructural project. Long term planning is now required for projects to be delivered in 2 to 3 years</w:t>
      </w:r>
      <w:r>
        <w:rPr>
          <w:sz w:val="20"/>
          <w:szCs w:val="20"/>
        </w:rPr>
        <w:t>’</w:t>
      </w:r>
      <w:r w:rsidRPr="00E42D14">
        <w:rPr>
          <w:sz w:val="20"/>
          <w:szCs w:val="20"/>
        </w:rPr>
        <w:t xml:space="preserve"> time and indeed in longer timeframes. Long term planning of future infrastructural projects cannot be sacrificed to meet other short term revenue requirements. The strategic infrastructure planning approval process in An Bord Plean</w:t>
      </w:r>
      <w:r>
        <w:rPr>
          <w:sz w:val="20"/>
          <w:szCs w:val="20"/>
        </w:rPr>
        <w:t>á</w:t>
      </w:r>
      <w:r w:rsidRPr="00E42D14">
        <w:rPr>
          <w:sz w:val="20"/>
          <w:szCs w:val="20"/>
        </w:rPr>
        <w:t>la works well. Every effort should be made to progress the planning phases of critical infrastructure projects through An Bord Plean</w:t>
      </w:r>
      <w:r>
        <w:rPr>
          <w:sz w:val="20"/>
          <w:szCs w:val="20"/>
        </w:rPr>
        <w:t>á</w:t>
      </w:r>
      <w:r w:rsidRPr="00E42D14">
        <w:rPr>
          <w:sz w:val="20"/>
          <w:szCs w:val="20"/>
        </w:rPr>
        <w:t>la at the earliest opportunity so that the statutory planning requirements can be addressed in the short term</w:t>
      </w:r>
      <w:r>
        <w:rPr>
          <w:sz w:val="20"/>
          <w:szCs w:val="20"/>
        </w:rPr>
        <w:t>.</w:t>
      </w:r>
      <w:r w:rsidRPr="00E42D14">
        <w:rPr>
          <w:sz w:val="20"/>
          <w:szCs w:val="20"/>
        </w:rPr>
        <w:t xml:space="preserve"> </w:t>
      </w:r>
    </w:p>
    <w:p w14:paraId="432C9860" w14:textId="4E8143A3" w:rsidR="008E2605" w:rsidRPr="00E42D14" w:rsidRDefault="008E2605" w:rsidP="008E2605">
      <w:pPr>
        <w:pStyle w:val="DKMBodyText"/>
        <w:rPr>
          <w:rFonts w:asciiTheme="minorHAnsi" w:hAnsiTheme="minorHAnsi"/>
          <w:sz w:val="20"/>
          <w:szCs w:val="20"/>
        </w:rPr>
      </w:pPr>
    </w:p>
    <w:p w14:paraId="4E3FC41D" w14:textId="5247656B" w:rsidR="00E42D14" w:rsidRPr="00E42D14" w:rsidRDefault="00E42D14" w:rsidP="00E42D14">
      <w:pPr>
        <w:rPr>
          <w:sz w:val="20"/>
          <w:szCs w:val="20"/>
        </w:rPr>
      </w:pPr>
      <w:r w:rsidRPr="00E42D14">
        <w:rPr>
          <w:sz w:val="20"/>
          <w:szCs w:val="20"/>
        </w:rPr>
        <w:t>The CIF has separately made numerous submissions to the Department of Housing</w:t>
      </w:r>
      <w:r>
        <w:rPr>
          <w:sz w:val="20"/>
          <w:szCs w:val="20"/>
        </w:rPr>
        <w:t>,</w:t>
      </w:r>
      <w:r w:rsidRPr="00E42D14">
        <w:rPr>
          <w:sz w:val="20"/>
          <w:szCs w:val="20"/>
        </w:rPr>
        <w:t xml:space="preserve"> Planning Community and Local </w:t>
      </w:r>
      <w:r>
        <w:rPr>
          <w:sz w:val="20"/>
          <w:szCs w:val="20"/>
        </w:rPr>
        <w:t>G</w:t>
      </w:r>
      <w:r w:rsidRPr="00E42D14">
        <w:rPr>
          <w:sz w:val="20"/>
          <w:szCs w:val="20"/>
        </w:rPr>
        <w:t>overnment seeking legislative amendments to the planning control process to bring about greater planning certainty to private sector project promoters. These submissions called for, inter alia, statutory timeframes for planning authorities’ approval of planning compliance documentation, timeframes for taking in charge of development estates, standardisation of planning conditions, timely release of development securities and bonds and timely scheduling of pre-planning consultations. Implementation of a number of these suggested amendments will remove some of the uncertainties facing project promoters in pursuing viable investment and development opportunities.</w:t>
      </w:r>
    </w:p>
    <w:p w14:paraId="13465AD2" w14:textId="161FBB6B" w:rsidR="00804271" w:rsidRPr="00960B61" w:rsidRDefault="00804271" w:rsidP="00960B61">
      <w:pPr>
        <w:pStyle w:val="DKM2"/>
        <w:spacing w:line="276" w:lineRule="auto"/>
        <w:rPr>
          <w:rFonts w:asciiTheme="minorHAnsi" w:hAnsiTheme="minorHAnsi"/>
        </w:rPr>
      </w:pPr>
      <w:bookmarkStart w:id="24" w:name="_Toc478116690"/>
      <w:r w:rsidRPr="00960B61">
        <w:rPr>
          <w:rFonts w:asciiTheme="minorHAnsi" w:hAnsiTheme="minorHAnsi"/>
        </w:rPr>
        <w:t>Why Invest in Public Infrastructure?</w:t>
      </w:r>
      <w:bookmarkEnd w:id="24"/>
    </w:p>
    <w:p w14:paraId="7855F7A7" w14:textId="4956A0EE" w:rsidR="003A4DC5" w:rsidRDefault="00CE04CD" w:rsidP="00CD67CA">
      <w:pPr>
        <w:pStyle w:val="DKMBodyText"/>
        <w:rPr>
          <w:color w:val="000000" w:themeColor="text1"/>
          <w:sz w:val="20"/>
          <w:szCs w:val="20"/>
        </w:rPr>
      </w:pPr>
      <w:r w:rsidRPr="00CD67CA">
        <w:rPr>
          <w:sz w:val="20"/>
          <w:szCs w:val="20"/>
        </w:rPr>
        <w:t xml:space="preserve">Investment in infrastructure is important in a small open economy which has an expanding population and for which competitiveness is </w:t>
      </w:r>
      <w:r w:rsidR="00CD67CA" w:rsidRPr="00CD67CA">
        <w:rPr>
          <w:sz w:val="20"/>
          <w:szCs w:val="20"/>
        </w:rPr>
        <w:t>central</w:t>
      </w:r>
      <w:r w:rsidR="00CD67CA">
        <w:rPr>
          <w:sz w:val="20"/>
          <w:szCs w:val="20"/>
        </w:rPr>
        <w:t xml:space="preserve"> to economic growth</w:t>
      </w:r>
      <w:r w:rsidRPr="00CD67CA">
        <w:rPr>
          <w:sz w:val="20"/>
          <w:szCs w:val="20"/>
        </w:rPr>
        <w:t>.</w:t>
      </w:r>
      <w:r w:rsidR="003A4DC5" w:rsidRPr="00CD67CA">
        <w:rPr>
          <w:color w:val="000000" w:themeColor="text1"/>
          <w:sz w:val="20"/>
          <w:szCs w:val="20"/>
        </w:rPr>
        <w:t xml:space="preserve"> Secondary effects, such as the job creation that accrues from different kinds of investment projects, </w:t>
      </w:r>
      <w:r w:rsidR="008E1B3D" w:rsidRPr="00CD67CA">
        <w:rPr>
          <w:color w:val="000000" w:themeColor="text1"/>
          <w:sz w:val="20"/>
          <w:szCs w:val="20"/>
        </w:rPr>
        <w:t>are</w:t>
      </w:r>
      <w:r w:rsidR="003A4DC5" w:rsidRPr="00CD67CA">
        <w:rPr>
          <w:color w:val="000000" w:themeColor="text1"/>
          <w:sz w:val="20"/>
          <w:szCs w:val="20"/>
        </w:rPr>
        <w:t xml:space="preserve"> also </w:t>
      </w:r>
      <w:r w:rsidR="008E1B3D" w:rsidRPr="00CD67CA">
        <w:rPr>
          <w:color w:val="000000" w:themeColor="text1"/>
          <w:sz w:val="20"/>
          <w:szCs w:val="20"/>
        </w:rPr>
        <w:t>important</w:t>
      </w:r>
      <w:r w:rsidR="003A4DC5" w:rsidRPr="00CD67CA">
        <w:rPr>
          <w:color w:val="000000" w:themeColor="text1"/>
          <w:sz w:val="20"/>
          <w:szCs w:val="20"/>
        </w:rPr>
        <w:t xml:space="preserve">. </w:t>
      </w:r>
    </w:p>
    <w:p w14:paraId="5B96F078" w14:textId="77777777" w:rsidR="00822A7E" w:rsidRDefault="00822A7E" w:rsidP="00CD67CA">
      <w:pPr>
        <w:pStyle w:val="DKMBodyText"/>
        <w:rPr>
          <w:color w:val="000000" w:themeColor="text1"/>
          <w:sz w:val="20"/>
          <w:szCs w:val="20"/>
        </w:rPr>
      </w:pPr>
    </w:p>
    <w:p w14:paraId="2B51F49D" w14:textId="77777777" w:rsidR="00CD67CA" w:rsidRPr="00CD67CA" w:rsidRDefault="00CD67CA" w:rsidP="00CD67CA">
      <w:pPr>
        <w:pStyle w:val="DKMBodyText"/>
        <w:rPr>
          <w:sz w:val="20"/>
          <w:szCs w:val="20"/>
        </w:rPr>
      </w:pPr>
      <w:r w:rsidRPr="00CD67CA">
        <w:rPr>
          <w:sz w:val="20"/>
          <w:szCs w:val="20"/>
        </w:rPr>
        <w:t>The quantum of capital investment should ultimately be determined by the infrastructure needs of the economy and by ensuring that the infrastructure put in place:</w:t>
      </w:r>
    </w:p>
    <w:p w14:paraId="0221F478" w14:textId="77777777" w:rsidR="00CD67CA" w:rsidRPr="00CD67CA" w:rsidRDefault="00CD67CA" w:rsidP="000373A6">
      <w:pPr>
        <w:pStyle w:val="DKMBodyText"/>
        <w:numPr>
          <w:ilvl w:val="0"/>
          <w:numId w:val="22"/>
        </w:numPr>
        <w:ind w:left="426"/>
        <w:rPr>
          <w:sz w:val="20"/>
          <w:szCs w:val="20"/>
        </w:rPr>
      </w:pPr>
      <w:r w:rsidRPr="00CD67CA">
        <w:rPr>
          <w:sz w:val="20"/>
          <w:szCs w:val="20"/>
        </w:rPr>
        <w:t xml:space="preserve">Adds to the productive potential of the economy; </w:t>
      </w:r>
    </w:p>
    <w:p w14:paraId="6BAC535E" w14:textId="6CB9D1C8" w:rsidR="00CD67CA" w:rsidRPr="00CD67CA" w:rsidRDefault="00826017" w:rsidP="000373A6">
      <w:pPr>
        <w:pStyle w:val="DKMBodyText"/>
        <w:numPr>
          <w:ilvl w:val="0"/>
          <w:numId w:val="22"/>
        </w:numPr>
        <w:ind w:left="426"/>
        <w:rPr>
          <w:sz w:val="20"/>
          <w:szCs w:val="20"/>
        </w:rPr>
      </w:pPr>
      <w:r>
        <w:rPr>
          <w:sz w:val="20"/>
          <w:szCs w:val="20"/>
        </w:rPr>
        <w:t>Caters for</w:t>
      </w:r>
      <w:r w:rsidR="00CD67CA" w:rsidRPr="00CD67CA">
        <w:rPr>
          <w:sz w:val="20"/>
          <w:szCs w:val="20"/>
        </w:rPr>
        <w:t xml:space="preserve"> the growth in population;</w:t>
      </w:r>
    </w:p>
    <w:p w14:paraId="4D072AB2" w14:textId="77777777" w:rsidR="00CD67CA" w:rsidRPr="00CD67CA" w:rsidRDefault="00CD67CA" w:rsidP="000373A6">
      <w:pPr>
        <w:pStyle w:val="DKMBodyText"/>
        <w:numPr>
          <w:ilvl w:val="0"/>
          <w:numId w:val="22"/>
        </w:numPr>
        <w:ind w:left="426"/>
        <w:rPr>
          <w:sz w:val="20"/>
          <w:szCs w:val="20"/>
        </w:rPr>
      </w:pPr>
      <w:r w:rsidRPr="00CD67CA">
        <w:rPr>
          <w:sz w:val="20"/>
          <w:szCs w:val="20"/>
        </w:rPr>
        <w:t xml:space="preserve">Addresses bottlenecks or cost inefficiencies in the economy; </w:t>
      </w:r>
    </w:p>
    <w:p w14:paraId="26FDCEA6" w14:textId="77777777" w:rsidR="00CD67CA" w:rsidRPr="00CD67CA" w:rsidRDefault="00CD67CA" w:rsidP="000373A6">
      <w:pPr>
        <w:pStyle w:val="DKMBodyText"/>
        <w:numPr>
          <w:ilvl w:val="0"/>
          <w:numId w:val="22"/>
        </w:numPr>
        <w:ind w:left="426"/>
        <w:rPr>
          <w:sz w:val="20"/>
          <w:szCs w:val="20"/>
        </w:rPr>
      </w:pPr>
      <w:r w:rsidRPr="00CD67CA">
        <w:rPr>
          <w:sz w:val="20"/>
          <w:szCs w:val="20"/>
        </w:rPr>
        <w:t>Provides value for money;</w:t>
      </w:r>
    </w:p>
    <w:p w14:paraId="71ED83ED" w14:textId="77777777" w:rsidR="00CD67CA" w:rsidRPr="00CD67CA" w:rsidRDefault="00CD67CA" w:rsidP="000373A6">
      <w:pPr>
        <w:pStyle w:val="DKMBodyText"/>
        <w:numPr>
          <w:ilvl w:val="0"/>
          <w:numId w:val="22"/>
        </w:numPr>
        <w:ind w:left="426"/>
        <w:rPr>
          <w:sz w:val="20"/>
          <w:szCs w:val="20"/>
        </w:rPr>
      </w:pPr>
      <w:r w:rsidRPr="00CD67CA">
        <w:rPr>
          <w:sz w:val="20"/>
          <w:szCs w:val="20"/>
        </w:rPr>
        <w:t>Generates an economic rate of return above the cost of funding the infrastructure; and</w:t>
      </w:r>
    </w:p>
    <w:p w14:paraId="227281EE" w14:textId="66CCC490" w:rsidR="00CD67CA" w:rsidRPr="00CD67CA" w:rsidRDefault="00CD67CA" w:rsidP="000373A6">
      <w:pPr>
        <w:pStyle w:val="DKMBodyText"/>
        <w:numPr>
          <w:ilvl w:val="0"/>
          <w:numId w:val="22"/>
        </w:numPr>
        <w:ind w:left="426"/>
        <w:rPr>
          <w:sz w:val="20"/>
          <w:szCs w:val="20"/>
        </w:rPr>
      </w:pPr>
      <w:r w:rsidRPr="00CD67CA">
        <w:rPr>
          <w:sz w:val="20"/>
          <w:szCs w:val="20"/>
        </w:rPr>
        <w:t>Generates direct employment, which in turn lead</w:t>
      </w:r>
      <w:r w:rsidR="00826017">
        <w:rPr>
          <w:sz w:val="20"/>
          <w:szCs w:val="20"/>
        </w:rPr>
        <w:t>s</w:t>
      </w:r>
      <w:r w:rsidRPr="00CD67CA">
        <w:rPr>
          <w:sz w:val="20"/>
          <w:szCs w:val="20"/>
        </w:rPr>
        <w:t xml:space="preserve"> to the creation of indirect employment in Irish firms right back through the supply chain and induced employment in the wider economy</w:t>
      </w:r>
      <w:r w:rsidR="007268B2">
        <w:rPr>
          <w:sz w:val="20"/>
          <w:szCs w:val="20"/>
        </w:rPr>
        <w:t>,</w:t>
      </w:r>
      <w:r w:rsidRPr="00CD67CA">
        <w:rPr>
          <w:sz w:val="20"/>
          <w:szCs w:val="20"/>
        </w:rPr>
        <w:t xml:space="preserve"> as the wages </w:t>
      </w:r>
      <w:r w:rsidR="00826017">
        <w:rPr>
          <w:sz w:val="20"/>
          <w:szCs w:val="20"/>
        </w:rPr>
        <w:t xml:space="preserve">and profits </w:t>
      </w:r>
      <w:r w:rsidRPr="00CD67CA">
        <w:rPr>
          <w:sz w:val="20"/>
          <w:szCs w:val="20"/>
        </w:rPr>
        <w:t>from the direct and indirect employment are spent on Irish goods and services in the wider economy.</w:t>
      </w:r>
    </w:p>
    <w:p w14:paraId="5F36E6C5" w14:textId="77777777" w:rsidR="00CD67CA" w:rsidRPr="00CD67CA" w:rsidRDefault="00CD67CA" w:rsidP="00CD67CA">
      <w:pPr>
        <w:pStyle w:val="DKMBodyText"/>
        <w:ind w:left="426"/>
        <w:rPr>
          <w:color w:val="000000" w:themeColor="text1"/>
          <w:sz w:val="20"/>
          <w:szCs w:val="20"/>
        </w:rPr>
      </w:pPr>
    </w:p>
    <w:p w14:paraId="1392C563" w14:textId="081E3BFD" w:rsidR="00CD67CA" w:rsidRPr="00180301" w:rsidRDefault="00CD67CA" w:rsidP="00CD67CA">
      <w:pPr>
        <w:rPr>
          <w:rFonts w:eastAsiaTheme="minorHAnsi"/>
          <w:sz w:val="20"/>
          <w:szCs w:val="20"/>
          <w:lang w:eastAsia="en-US"/>
        </w:rPr>
      </w:pPr>
      <w:r w:rsidRPr="00C85FF1">
        <w:rPr>
          <w:sz w:val="20"/>
          <w:szCs w:val="20"/>
        </w:rPr>
        <w:t xml:space="preserve">The economic recovery in Ireland continues at the fastest rate in Europe. The annual GDP growth rate of </w:t>
      </w:r>
      <w:r w:rsidR="00826017" w:rsidRPr="00C85FF1">
        <w:rPr>
          <w:sz w:val="20"/>
          <w:szCs w:val="20"/>
        </w:rPr>
        <w:t>5.2</w:t>
      </w:r>
      <w:r w:rsidRPr="00C85FF1">
        <w:rPr>
          <w:sz w:val="20"/>
          <w:szCs w:val="20"/>
        </w:rPr>
        <w:t xml:space="preserve"> per cent in 2016</w:t>
      </w:r>
      <w:r w:rsidR="007953B6" w:rsidRPr="00C85FF1">
        <w:rPr>
          <w:sz w:val="20"/>
          <w:szCs w:val="20"/>
        </w:rPr>
        <w:t xml:space="preserve"> was followed </w:t>
      </w:r>
      <w:r w:rsidRPr="00C85FF1">
        <w:rPr>
          <w:sz w:val="20"/>
          <w:szCs w:val="20"/>
        </w:rPr>
        <w:t>by</w:t>
      </w:r>
      <w:r w:rsidR="007953B6" w:rsidRPr="00C85FF1">
        <w:rPr>
          <w:sz w:val="20"/>
          <w:szCs w:val="20"/>
        </w:rPr>
        <w:t xml:space="preserve"> Malta (5%) and</w:t>
      </w:r>
      <w:r w:rsidRPr="00C85FF1">
        <w:rPr>
          <w:sz w:val="20"/>
          <w:szCs w:val="20"/>
        </w:rPr>
        <w:t xml:space="preserve"> Romania</w:t>
      </w:r>
      <w:r w:rsidR="007953B6" w:rsidRPr="00C85FF1">
        <w:rPr>
          <w:sz w:val="20"/>
          <w:szCs w:val="20"/>
        </w:rPr>
        <w:t xml:space="preserve"> (4.8%), which recorded the next highest growth rates in the EU 28 countries.</w:t>
      </w:r>
      <w:r w:rsidR="007953B6" w:rsidRPr="00C85FF1">
        <w:rPr>
          <w:rStyle w:val="FootnoteReference"/>
          <w:sz w:val="20"/>
          <w:szCs w:val="20"/>
        </w:rPr>
        <w:t xml:space="preserve"> </w:t>
      </w:r>
      <w:r w:rsidR="007953B6" w:rsidRPr="00C85FF1">
        <w:rPr>
          <w:rStyle w:val="FootnoteReference"/>
          <w:sz w:val="20"/>
          <w:szCs w:val="20"/>
        </w:rPr>
        <w:footnoteReference w:id="41"/>
      </w:r>
      <w:r w:rsidRPr="00C85FF1">
        <w:rPr>
          <w:sz w:val="20"/>
          <w:szCs w:val="20"/>
        </w:rPr>
        <w:t xml:space="preserve"> </w:t>
      </w:r>
      <w:r w:rsidRPr="00C85FF1">
        <w:rPr>
          <w:rFonts w:eastAsiaTheme="minorHAnsi"/>
          <w:sz w:val="20"/>
          <w:szCs w:val="20"/>
          <w:lang w:eastAsia="en-US"/>
        </w:rPr>
        <w:t>Looking at short-term official forecasts</w:t>
      </w:r>
      <w:r w:rsidRPr="00C85FF1">
        <w:rPr>
          <w:sz w:val="20"/>
          <w:szCs w:val="20"/>
          <w:vertAlign w:val="superscript"/>
        </w:rPr>
        <w:footnoteReference w:id="42"/>
      </w:r>
      <w:r w:rsidRPr="00C85FF1">
        <w:rPr>
          <w:rFonts w:eastAsiaTheme="minorHAnsi"/>
          <w:sz w:val="20"/>
          <w:szCs w:val="20"/>
          <w:lang w:eastAsia="en-US"/>
        </w:rPr>
        <w:t xml:space="preserve">, </w:t>
      </w:r>
      <w:r w:rsidRPr="00C85FF1">
        <w:rPr>
          <w:sz w:val="20"/>
          <w:szCs w:val="20"/>
        </w:rPr>
        <w:t xml:space="preserve">it is clear that the Irish economy will grow at a much more subdued rate </w:t>
      </w:r>
      <w:r w:rsidRPr="00180301">
        <w:rPr>
          <w:sz w:val="20"/>
          <w:szCs w:val="20"/>
        </w:rPr>
        <w:t xml:space="preserve">in 2017 than occurred in </w:t>
      </w:r>
      <w:r w:rsidR="00826017">
        <w:rPr>
          <w:sz w:val="20"/>
          <w:szCs w:val="20"/>
        </w:rPr>
        <w:t xml:space="preserve">2014, </w:t>
      </w:r>
      <w:r w:rsidRPr="00180301">
        <w:rPr>
          <w:sz w:val="20"/>
          <w:szCs w:val="20"/>
        </w:rPr>
        <w:t>201</w:t>
      </w:r>
      <w:r w:rsidR="00826017">
        <w:rPr>
          <w:sz w:val="20"/>
          <w:szCs w:val="20"/>
        </w:rPr>
        <w:t>5</w:t>
      </w:r>
      <w:r w:rsidRPr="00180301">
        <w:rPr>
          <w:sz w:val="20"/>
          <w:szCs w:val="20"/>
        </w:rPr>
        <w:t xml:space="preserve"> and 201</w:t>
      </w:r>
      <w:r w:rsidR="00826017">
        <w:rPr>
          <w:sz w:val="20"/>
          <w:szCs w:val="20"/>
        </w:rPr>
        <w:t>6</w:t>
      </w:r>
      <w:r w:rsidRPr="00180301">
        <w:rPr>
          <w:sz w:val="20"/>
          <w:szCs w:val="20"/>
        </w:rPr>
        <w:t xml:space="preserve">. </w:t>
      </w:r>
      <w:r w:rsidRPr="00180301">
        <w:rPr>
          <w:rFonts w:eastAsiaTheme="minorHAnsi"/>
          <w:sz w:val="20"/>
          <w:szCs w:val="20"/>
          <w:lang w:eastAsia="en-US"/>
        </w:rPr>
        <w:t xml:space="preserve">With uncertainty looming over the exit strategy of Britain from the European Union, the GDP growth rate is expected to be more subdued in 2017 at 3.3 per cent. </w:t>
      </w:r>
    </w:p>
    <w:p w14:paraId="00AB1161" w14:textId="77777777" w:rsidR="00CD67CA" w:rsidRPr="00180301" w:rsidRDefault="00CD67CA" w:rsidP="00CD67CA">
      <w:pPr>
        <w:pStyle w:val="DKMBody"/>
        <w:rPr>
          <w:szCs w:val="20"/>
        </w:rPr>
      </w:pPr>
    </w:p>
    <w:p w14:paraId="004A77D2" w14:textId="173B87A1" w:rsidR="00CD67CA" w:rsidRPr="00B23C00" w:rsidRDefault="00965F76" w:rsidP="00CD67CA">
      <w:pPr>
        <w:pStyle w:val="DKMBodyText"/>
        <w:rPr>
          <w:rFonts w:asciiTheme="minorHAnsi" w:hAnsiTheme="minorHAnsi"/>
          <w:sz w:val="18"/>
          <w:szCs w:val="18"/>
        </w:rPr>
      </w:pPr>
      <w:r>
        <w:rPr>
          <w:rFonts w:asciiTheme="minorHAnsi" w:hAnsiTheme="minorHAnsi"/>
          <w:sz w:val="20"/>
          <w:szCs w:val="20"/>
        </w:rPr>
        <w:t>T</w:t>
      </w:r>
      <w:r w:rsidR="00CD67CA" w:rsidRPr="00180301">
        <w:rPr>
          <w:rFonts w:asciiTheme="minorHAnsi" w:hAnsiTheme="minorHAnsi"/>
          <w:sz w:val="20"/>
          <w:szCs w:val="20"/>
        </w:rPr>
        <w:t xml:space="preserve">he </w:t>
      </w:r>
      <w:r w:rsidR="00CD67CA">
        <w:rPr>
          <w:rFonts w:asciiTheme="minorHAnsi" w:hAnsiTheme="minorHAnsi"/>
          <w:sz w:val="20"/>
          <w:szCs w:val="20"/>
        </w:rPr>
        <w:t xml:space="preserve">medium-term </w:t>
      </w:r>
      <w:r w:rsidR="00CD67CA" w:rsidRPr="00180301">
        <w:rPr>
          <w:rFonts w:asciiTheme="minorHAnsi" w:hAnsiTheme="minorHAnsi"/>
          <w:sz w:val="20"/>
          <w:szCs w:val="20"/>
        </w:rPr>
        <w:t>macroeconomic forecasts from the Department of Finance were produced following the British decision to leave the EU and prior to the US presidential election</w:t>
      </w:r>
      <w:r w:rsidR="00CD67CA">
        <w:rPr>
          <w:rFonts w:asciiTheme="minorHAnsi" w:hAnsiTheme="minorHAnsi"/>
          <w:sz w:val="20"/>
          <w:szCs w:val="20"/>
        </w:rPr>
        <w:t xml:space="preserve"> and </w:t>
      </w:r>
      <w:r w:rsidR="007953B6">
        <w:rPr>
          <w:rFonts w:asciiTheme="minorHAnsi" w:hAnsiTheme="minorHAnsi"/>
          <w:sz w:val="20"/>
          <w:szCs w:val="20"/>
        </w:rPr>
        <w:t>projected an</w:t>
      </w:r>
      <w:r w:rsidR="00CD67CA" w:rsidRPr="00180301">
        <w:rPr>
          <w:rFonts w:asciiTheme="minorHAnsi" w:hAnsiTheme="minorHAnsi"/>
          <w:sz w:val="20"/>
          <w:szCs w:val="20"/>
        </w:rPr>
        <w:t xml:space="preserve"> </w:t>
      </w:r>
      <w:r w:rsidR="00CD67CA">
        <w:rPr>
          <w:rFonts w:asciiTheme="minorHAnsi" w:hAnsiTheme="minorHAnsi"/>
          <w:sz w:val="20"/>
          <w:szCs w:val="20"/>
        </w:rPr>
        <w:t xml:space="preserve">average GDP </w:t>
      </w:r>
      <w:r w:rsidR="00CD67CA" w:rsidRPr="00180301">
        <w:rPr>
          <w:rFonts w:asciiTheme="minorHAnsi" w:hAnsiTheme="minorHAnsi"/>
          <w:sz w:val="20"/>
          <w:szCs w:val="20"/>
        </w:rPr>
        <w:t>growth out to 2021</w:t>
      </w:r>
      <w:r w:rsidR="00CD67CA">
        <w:rPr>
          <w:rFonts w:asciiTheme="minorHAnsi" w:hAnsiTheme="minorHAnsi"/>
          <w:sz w:val="20"/>
          <w:szCs w:val="20"/>
        </w:rPr>
        <w:t xml:space="preserve"> of around 3 per cent</w:t>
      </w:r>
      <w:r w:rsidR="00CD67CA" w:rsidRPr="00180301">
        <w:rPr>
          <w:rFonts w:asciiTheme="minorHAnsi" w:hAnsiTheme="minorHAnsi"/>
          <w:sz w:val="20"/>
          <w:szCs w:val="20"/>
        </w:rPr>
        <w:t>.</w:t>
      </w:r>
      <w:r w:rsidR="00CD67CA" w:rsidRPr="00180301">
        <w:rPr>
          <w:rStyle w:val="FootnoteReference"/>
          <w:rFonts w:asciiTheme="minorHAnsi" w:eastAsiaTheme="minorEastAsia" w:hAnsiTheme="minorHAnsi"/>
          <w:smallCaps/>
          <w:sz w:val="20"/>
          <w:szCs w:val="20"/>
        </w:rPr>
        <w:t xml:space="preserve"> </w:t>
      </w:r>
      <w:r w:rsidR="00CD67CA" w:rsidRPr="00180301">
        <w:rPr>
          <w:rStyle w:val="FootnoteReference"/>
          <w:rFonts w:asciiTheme="minorHAnsi" w:eastAsiaTheme="minorEastAsia" w:hAnsiTheme="minorHAnsi"/>
          <w:smallCaps/>
          <w:sz w:val="20"/>
          <w:szCs w:val="20"/>
        </w:rPr>
        <w:footnoteReference w:id="43"/>
      </w:r>
      <w:r w:rsidR="00CD67CA" w:rsidRPr="00180301">
        <w:rPr>
          <w:rFonts w:asciiTheme="minorHAnsi" w:hAnsiTheme="minorHAnsi"/>
          <w:sz w:val="20"/>
          <w:szCs w:val="20"/>
        </w:rPr>
        <w:t xml:space="preserve"> </w:t>
      </w:r>
    </w:p>
    <w:p w14:paraId="43E35C6D" w14:textId="77777777" w:rsidR="00CD67CA" w:rsidRPr="00180301" w:rsidRDefault="00CD67CA" w:rsidP="00CD67CA">
      <w:pPr>
        <w:rPr>
          <w:sz w:val="20"/>
          <w:szCs w:val="20"/>
        </w:rPr>
      </w:pPr>
    </w:p>
    <w:p w14:paraId="045D9F1A" w14:textId="561808BA" w:rsidR="00CD67CA" w:rsidRPr="00C85FF1" w:rsidRDefault="007268B2" w:rsidP="00CD67CA">
      <w:pPr>
        <w:rPr>
          <w:rFonts w:eastAsiaTheme="minorHAnsi"/>
          <w:sz w:val="20"/>
          <w:szCs w:val="20"/>
          <w:lang w:eastAsia="en-US"/>
        </w:rPr>
      </w:pPr>
      <w:r>
        <w:rPr>
          <w:rFonts w:eastAsiaTheme="minorHAnsi"/>
          <w:sz w:val="20"/>
          <w:szCs w:val="20"/>
          <w:lang w:eastAsia="en-US"/>
        </w:rPr>
        <w:t>However</w:t>
      </w:r>
      <w:r w:rsidR="00965F76">
        <w:rPr>
          <w:rFonts w:eastAsiaTheme="minorHAnsi"/>
          <w:sz w:val="20"/>
          <w:szCs w:val="20"/>
          <w:lang w:eastAsia="en-US"/>
        </w:rPr>
        <w:t>, t</w:t>
      </w:r>
      <w:r w:rsidR="00CD67CA" w:rsidRPr="00C94A58">
        <w:rPr>
          <w:rFonts w:eastAsiaTheme="minorHAnsi"/>
          <w:sz w:val="20"/>
          <w:szCs w:val="20"/>
          <w:lang w:eastAsia="en-US"/>
        </w:rPr>
        <w:t>he ESRI 2016 Medium-Term Outlook</w:t>
      </w:r>
      <w:r w:rsidR="00CD67CA" w:rsidRPr="00C94A58">
        <w:rPr>
          <w:rStyle w:val="FootnoteReference"/>
          <w:rFonts w:eastAsiaTheme="minorHAnsi"/>
          <w:sz w:val="20"/>
          <w:szCs w:val="20"/>
          <w:lang w:eastAsia="en-US"/>
        </w:rPr>
        <w:footnoteReference w:id="44"/>
      </w:r>
      <w:r w:rsidR="00CD67CA">
        <w:rPr>
          <w:rFonts w:eastAsiaTheme="minorHAnsi"/>
          <w:sz w:val="20"/>
          <w:szCs w:val="20"/>
          <w:lang w:eastAsia="en-US"/>
        </w:rPr>
        <w:t xml:space="preserve">, which was published post the Trump election, </w:t>
      </w:r>
      <w:r w:rsidR="00CD67CA" w:rsidRPr="00C94A58">
        <w:rPr>
          <w:rFonts w:eastAsiaTheme="minorHAnsi"/>
          <w:sz w:val="20"/>
          <w:szCs w:val="20"/>
          <w:lang w:eastAsia="en-US"/>
        </w:rPr>
        <w:t>projects GDP growth of approximately 3.5 per cent on an annual basis between 2016 and 2025, much of which will be driven by a continued strengthening in net exports. The ESRI also project</w:t>
      </w:r>
      <w:r w:rsidR="00CD67CA">
        <w:rPr>
          <w:rFonts w:eastAsiaTheme="minorHAnsi"/>
          <w:sz w:val="20"/>
          <w:szCs w:val="20"/>
          <w:lang w:eastAsia="en-US"/>
        </w:rPr>
        <w:t>s</w:t>
      </w:r>
      <w:r w:rsidR="00CD67CA" w:rsidRPr="00C94A58">
        <w:rPr>
          <w:rFonts w:eastAsiaTheme="minorHAnsi"/>
          <w:sz w:val="20"/>
          <w:szCs w:val="20"/>
          <w:lang w:eastAsia="en-US"/>
        </w:rPr>
        <w:t xml:space="preserve"> the unemployment rate to continue to fall to 6.4</w:t>
      </w:r>
      <w:r w:rsidR="00CD67CA">
        <w:rPr>
          <w:rFonts w:eastAsiaTheme="minorHAnsi"/>
          <w:sz w:val="20"/>
          <w:szCs w:val="20"/>
          <w:lang w:eastAsia="en-US"/>
        </w:rPr>
        <w:t xml:space="preserve"> per cent</w:t>
      </w:r>
      <w:r w:rsidR="00CD67CA" w:rsidRPr="00C94A58">
        <w:rPr>
          <w:rFonts w:eastAsiaTheme="minorHAnsi"/>
          <w:sz w:val="20"/>
          <w:szCs w:val="20"/>
          <w:lang w:eastAsia="en-US"/>
        </w:rPr>
        <w:t xml:space="preserve"> by 2025 in conjunction with growing employment to just over 2.3 million in 2025 from the current level </w:t>
      </w:r>
      <w:r w:rsidR="00CD67CA" w:rsidRPr="00C85FF1">
        <w:rPr>
          <w:rFonts w:eastAsiaTheme="minorHAnsi"/>
          <w:sz w:val="20"/>
          <w:szCs w:val="20"/>
          <w:lang w:eastAsia="en-US"/>
        </w:rPr>
        <w:t>of 2.0</w:t>
      </w:r>
      <w:r w:rsidR="007953B6" w:rsidRPr="00C85FF1">
        <w:rPr>
          <w:rFonts w:eastAsiaTheme="minorHAnsi"/>
          <w:sz w:val="20"/>
          <w:szCs w:val="20"/>
          <w:lang w:eastAsia="en-US"/>
        </w:rPr>
        <w:t>5</w:t>
      </w:r>
      <w:r w:rsidR="00CD67CA" w:rsidRPr="00C85FF1">
        <w:rPr>
          <w:rFonts w:eastAsiaTheme="minorHAnsi"/>
          <w:sz w:val="20"/>
          <w:szCs w:val="20"/>
          <w:lang w:eastAsia="en-US"/>
        </w:rPr>
        <w:t xml:space="preserve"> million in Q</w:t>
      </w:r>
      <w:r w:rsidR="007953B6" w:rsidRPr="00C85FF1">
        <w:rPr>
          <w:rFonts w:eastAsiaTheme="minorHAnsi"/>
          <w:sz w:val="20"/>
          <w:szCs w:val="20"/>
          <w:lang w:eastAsia="en-US"/>
        </w:rPr>
        <w:t>4</w:t>
      </w:r>
      <w:r w:rsidR="00CD67CA" w:rsidRPr="00C85FF1">
        <w:rPr>
          <w:rFonts w:eastAsiaTheme="minorHAnsi"/>
          <w:sz w:val="20"/>
          <w:szCs w:val="20"/>
          <w:lang w:eastAsia="en-US"/>
        </w:rPr>
        <w:t xml:space="preserve"> 2016.</w:t>
      </w:r>
    </w:p>
    <w:p w14:paraId="1B68B47D" w14:textId="77777777" w:rsidR="00CD67CA" w:rsidRDefault="00CD67CA" w:rsidP="00CD67CA">
      <w:pPr>
        <w:pStyle w:val="DKMBodyText"/>
        <w:rPr>
          <w:color w:val="000000" w:themeColor="text1"/>
          <w:sz w:val="20"/>
          <w:szCs w:val="20"/>
        </w:rPr>
      </w:pPr>
    </w:p>
    <w:p w14:paraId="225C4049" w14:textId="77777777" w:rsidR="008E47D7" w:rsidRDefault="008E1B3D" w:rsidP="00CD67CA">
      <w:pPr>
        <w:pStyle w:val="DKMBodyText"/>
        <w:rPr>
          <w:sz w:val="20"/>
          <w:szCs w:val="20"/>
        </w:rPr>
      </w:pPr>
      <w:r w:rsidRPr="00CD67CA">
        <w:rPr>
          <w:color w:val="000000" w:themeColor="text1"/>
          <w:sz w:val="20"/>
          <w:szCs w:val="20"/>
        </w:rPr>
        <w:t>Ireland’s population is projected to experience steady growth over the next thirty years.</w:t>
      </w:r>
      <w:r w:rsidRPr="00980047">
        <w:rPr>
          <w:color w:val="000000" w:themeColor="text1"/>
          <w:sz w:val="20"/>
          <w:szCs w:val="20"/>
        </w:rPr>
        <w:t xml:space="preserve"> Depending on the assumptions for migration and fertility, the population </w:t>
      </w:r>
      <w:r w:rsidRPr="00980047">
        <w:rPr>
          <w:sz w:val="20"/>
          <w:szCs w:val="20"/>
        </w:rPr>
        <w:t xml:space="preserve">is projected to grow by </w:t>
      </w:r>
      <w:r w:rsidR="00980047" w:rsidRPr="00980047">
        <w:rPr>
          <w:sz w:val="20"/>
          <w:szCs w:val="20"/>
        </w:rPr>
        <w:t xml:space="preserve">between 324,000 (weakest scenario) and </w:t>
      </w:r>
      <w:r w:rsidRPr="00980047">
        <w:rPr>
          <w:sz w:val="20"/>
          <w:szCs w:val="20"/>
        </w:rPr>
        <w:t>2.</w:t>
      </w:r>
      <w:r w:rsidR="00980047" w:rsidRPr="00980047">
        <w:rPr>
          <w:sz w:val="20"/>
          <w:szCs w:val="20"/>
        </w:rPr>
        <w:t>1</w:t>
      </w:r>
      <w:r w:rsidRPr="00980047">
        <w:rPr>
          <w:sz w:val="20"/>
          <w:szCs w:val="20"/>
        </w:rPr>
        <w:t xml:space="preserve"> million</w:t>
      </w:r>
      <w:r w:rsidR="00980047" w:rsidRPr="00980047">
        <w:rPr>
          <w:sz w:val="20"/>
          <w:szCs w:val="20"/>
        </w:rPr>
        <w:t xml:space="preserve"> (strongest scenario)</w:t>
      </w:r>
      <w:r w:rsidRPr="00980047">
        <w:rPr>
          <w:sz w:val="20"/>
          <w:szCs w:val="20"/>
        </w:rPr>
        <w:t xml:space="preserve"> to </w:t>
      </w:r>
      <w:r w:rsidR="00980047" w:rsidRPr="00980047">
        <w:rPr>
          <w:sz w:val="20"/>
          <w:szCs w:val="20"/>
        </w:rPr>
        <w:t xml:space="preserve">between 5 million and </w:t>
      </w:r>
      <w:r w:rsidRPr="00980047">
        <w:rPr>
          <w:sz w:val="20"/>
          <w:szCs w:val="20"/>
        </w:rPr>
        <w:t>6.7 million</w:t>
      </w:r>
      <w:r w:rsidR="00980047" w:rsidRPr="00980047">
        <w:rPr>
          <w:sz w:val="20"/>
          <w:szCs w:val="20"/>
        </w:rPr>
        <w:t xml:space="preserve"> by 2046</w:t>
      </w:r>
      <w:r w:rsidR="00980047">
        <w:rPr>
          <w:rStyle w:val="FootnoteReference"/>
          <w:sz w:val="20"/>
          <w:szCs w:val="20"/>
        </w:rPr>
        <w:footnoteReference w:id="45"/>
      </w:r>
      <w:r w:rsidRPr="00980047">
        <w:rPr>
          <w:sz w:val="20"/>
          <w:szCs w:val="20"/>
        </w:rPr>
        <w:t>.</w:t>
      </w:r>
      <w:r w:rsidR="00980047" w:rsidRPr="00980047">
        <w:rPr>
          <w:sz w:val="20"/>
          <w:szCs w:val="20"/>
        </w:rPr>
        <w:t xml:space="preserve"> On average, this is equivalent to a</w:t>
      </w:r>
      <w:r w:rsidR="00CD2E1E">
        <w:rPr>
          <w:sz w:val="20"/>
          <w:szCs w:val="20"/>
        </w:rPr>
        <w:t>n average</w:t>
      </w:r>
      <w:r w:rsidR="00980047" w:rsidRPr="00980047">
        <w:rPr>
          <w:sz w:val="20"/>
          <w:szCs w:val="20"/>
        </w:rPr>
        <w:t xml:space="preserve"> population </w:t>
      </w:r>
      <w:r w:rsidR="00CD2E1E">
        <w:rPr>
          <w:sz w:val="20"/>
          <w:szCs w:val="20"/>
        </w:rPr>
        <w:t>increase</w:t>
      </w:r>
      <w:r w:rsidR="00980047" w:rsidRPr="00980047">
        <w:rPr>
          <w:sz w:val="20"/>
          <w:szCs w:val="20"/>
        </w:rPr>
        <w:t xml:space="preserve"> of 1.2 million over the next 35 years.</w:t>
      </w:r>
    </w:p>
    <w:p w14:paraId="1F2AF94F" w14:textId="481AFA19" w:rsidR="008E1B3D" w:rsidRDefault="00980047" w:rsidP="00CD67CA">
      <w:pPr>
        <w:pStyle w:val="DKMBodyText"/>
        <w:rPr>
          <w:sz w:val="20"/>
          <w:szCs w:val="20"/>
        </w:rPr>
      </w:pPr>
      <w:r w:rsidRPr="00980047">
        <w:rPr>
          <w:sz w:val="20"/>
          <w:szCs w:val="20"/>
        </w:rPr>
        <w:t xml:space="preserve"> </w:t>
      </w:r>
    </w:p>
    <w:p w14:paraId="47B84873" w14:textId="77777777" w:rsidR="008E47D7" w:rsidRDefault="008E47D7" w:rsidP="008E47D7">
      <w:pPr>
        <w:pStyle w:val="DKMFigure"/>
        <w:keepNext/>
        <w:spacing w:before="0" w:after="0"/>
      </w:pPr>
      <w:bookmarkStart w:id="25" w:name="_Toc478116712"/>
      <w:r>
        <w:t>Projected Change in Population to 2046</w:t>
      </w:r>
      <w:bookmarkEnd w:id="25"/>
    </w:p>
    <w:p w14:paraId="03C045DD" w14:textId="77777777" w:rsidR="008E47D7" w:rsidRPr="00CD67CA" w:rsidRDefault="008E47D7" w:rsidP="008E47D7">
      <w:pPr>
        <w:pStyle w:val="DKMBodyText"/>
        <w:keepNext/>
        <w:rPr>
          <w:sz w:val="20"/>
          <w:szCs w:val="20"/>
        </w:rPr>
      </w:pPr>
      <w:r w:rsidRPr="00CD67CA">
        <w:rPr>
          <w:i/>
          <w:sz w:val="20"/>
          <w:szCs w:val="20"/>
        </w:rPr>
        <w:t>(Annual average growth rates)</w:t>
      </w:r>
      <w:r w:rsidRPr="00CD67CA">
        <w:rPr>
          <w:sz w:val="20"/>
          <w:szCs w:val="20"/>
        </w:rPr>
        <w:t xml:space="preserve"> </w:t>
      </w:r>
    </w:p>
    <w:p w14:paraId="0244D9D9" w14:textId="77777777" w:rsidR="008E47D7" w:rsidRDefault="008E47D7" w:rsidP="008E47D7">
      <w:pPr>
        <w:pStyle w:val="DKMBodyText"/>
        <w:rPr>
          <w:sz w:val="20"/>
          <w:szCs w:val="20"/>
        </w:rPr>
      </w:pPr>
      <w:r w:rsidRPr="00980047">
        <w:rPr>
          <w:noProof/>
          <w:lang w:eastAsia="en-IE"/>
        </w:rPr>
        <w:drawing>
          <wp:inline distT="0" distB="0" distL="0" distR="0" wp14:anchorId="351655FE" wp14:editId="05429D19">
            <wp:extent cx="4679315" cy="2854519"/>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83933" cy="2857336"/>
                    </a:xfrm>
                    <a:prstGeom prst="rect">
                      <a:avLst/>
                    </a:prstGeom>
                  </pic:spPr>
                </pic:pic>
              </a:graphicData>
            </a:graphic>
          </wp:inline>
        </w:drawing>
      </w:r>
    </w:p>
    <w:p w14:paraId="266613E7" w14:textId="77777777" w:rsidR="008E47D7" w:rsidRPr="00980047" w:rsidRDefault="008E47D7" w:rsidP="008E47D7">
      <w:pPr>
        <w:pStyle w:val="DKMBodyText"/>
        <w:rPr>
          <w:sz w:val="18"/>
          <w:szCs w:val="18"/>
        </w:rPr>
      </w:pPr>
      <w:r w:rsidRPr="00980047">
        <w:rPr>
          <w:sz w:val="18"/>
          <w:szCs w:val="18"/>
        </w:rPr>
        <w:t>Source: CSO Population and Labour Force Projections 2016-2046, April 2013.</w:t>
      </w:r>
    </w:p>
    <w:p w14:paraId="5E010CC3" w14:textId="16916BE7" w:rsidR="00594380" w:rsidRPr="00C85FF1" w:rsidRDefault="00C47E19" w:rsidP="00C47E19">
      <w:pPr>
        <w:pStyle w:val="DKMBodyText"/>
        <w:rPr>
          <w:rFonts w:asciiTheme="minorHAnsi" w:hAnsiTheme="minorHAnsi" w:cs="Arial"/>
          <w:sz w:val="20"/>
          <w:szCs w:val="20"/>
        </w:rPr>
      </w:pPr>
      <w:r w:rsidRPr="00C85FF1">
        <w:rPr>
          <w:sz w:val="20"/>
          <w:szCs w:val="20"/>
        </w:rPr>
        <w:t xml:space="preserve">This growth will require a significant investment in infrastructure. </w:t>
      </w:r>
      <w:r w:rsidR="00594380" w:rsidRPr="00C85FF1">
        <w:rPr>
          <w:rFonts w:asciiTheme="minorHAnsi" w:hAnsiTheme="minorHAnsi" w:cs="Arial"/>
          <w:sz w:val="20"/>
          <w:szCs w:val="20"/>
        </w:rPr>
        <w:t xml:space="preserve">The Taoiseach, Enda Kenny, has stated that: </w:t>
      </w:r>
      <w:r w:rsidR="00594380" w:rsidRPr="00C85FF1">
        <w:rPr>
          <w:rFonts w:asciiTheme="minorHAnsi" w:hAnsiTheme="minorHAnsi" w:cs="Arial"/>
          <w:i/>
          <w:sz w:val="20"/>
          <w:szCs w:val="20"/>
        </w:rPr>
        <w:t>An island of 10 million people by 2050 presents a challenge for all of us. But if we are to turn this challenge into real opportunities we need to work together, in planning and investing in the infrastructure necessary for the medium to longer term.”</w:t>
      </w:r>
    </w:p>
    <w:p w14:paraId="2728D18F" w14:textId="77777777" w:rsidR="006A5CF7" w:rsidRDefault="006A5CF7" w:rsidP="00CD67CA">
      <w:pPr>
        <w:pStyle w:val="DKMBodyText"/>
        <w:rPr>
          <w:sz w:val="20"/>
          <w:szCs w:val="20"/>
        </w:rPr>
      </w:pPr>
    </w:p>
    <w:p w14:paraId="50E8C717" w14:textId="37F05FCB" w:rsidR="00CC429C" w:rsidRPr="00CC429C" w:rsidRDefault="00CC429C" w:rsidP="004E0F9F">
      <w:pPr>
        <w:rPr>
          <w:sz w:val="20"/>
          <w:szCs w:val="20"/>
        </w:rPr>
      </w:pPr>
      <w:r w:rsidRPr="00CC429C">
        <w:rPr>
          <w:sz w:val="20"/>
          <w:szCs w:val="20"/>
        </w:rPr>
        <w:t xml:space="preserve">Where </w:t>
      </w:r>
      <w:r>
        <w:rPr>
          <w:sz w:val="20"/>
          <w:szCs w:val="20"/>
        </w:rPr>
        <w:t xml:space="preserve">it can be shown that </w:t>
      </w:r>
      <w:r w:rsidRPr="00CC429C">
        <w:rPr>
          <w:sz w:val="20"/>
          <w:szCs w:val="20"/>
        </w:rPr>
        <w:t>bottlenecks are actively constraining the economic output of the economy, and thus holding back the recovery and employment growth</w:t>
      </w:r>
      <w:r>
        <w:rPr>
          <w:sz w:val="20"/>
          <w:szCs w:val="20"/>
        </w:rPr>
        <w:t xml:space="preserve">, investment in infrastructure to tackle those bottlenecks should be </w:t>
      </w:r>
      <w:r w:rsidR="00DC3E16">
        <w:rPr>
          <w:sz w:val="20"/>
          <w:szCs w:val="20"/>
        </w:rPr>
        <w:t>prioritised</w:t>
      </w:r>
      <w:r>
        <w:rPr>
          <w:sz w:val="20"/>
          <w:szCs w:val="20"/>
        </w:rPr>
        <w:t xml:space="preserve">. </w:t>
      </w:r>
      <w:r w:rsidRPr="00CC429C">
        <w:rPr>
          <w:sz w:val="20"/>
          <w:szCs w:val="20"/>
        </w:rPr>
        <w:t>This includes</w:t>
      </w:r>
      <w:r w:rsidR="00B22672">
        <w:rPr>
          <w:sz w:val="20"/>
          <w:szCs w:val="20"/>
        </w:rPr>
        <w:t xml:space="preserve">, for example, </w:t>
      </w:r>
      <w:r w:rsidRPr="00CC429C">
        <w:rPr>
          <w:sz w:val="20"/>
          <w:szCs w:val="20"/>
        </w:rPr>
        <w:t>housing</w:t>
      </w:r>
      <w:r w:rsidR="00DC3E16">
        <w:rPr>
          <w:sz w:val="20"/>
          <w:szCs w:val="20"/>
        </w:rPr>
        <w:t>, transport and water</w:t>
      </w:r>
      <w:r w:rsidR="00B22672">
        <w:rPr>
          <w:sz w:val="20"/>
          <w:szCs w:val="20"/>
        </w:rPr>
        <w:t>, where such b</w:t>
      </w:r>
      <w:r w:rsidRPr="00CC429C">
        <w:rPr>
          <w:sz w:val="20"/>
          <w:szCs w:val="20"/>
        </w:rPr>
        <w:t xml:space="preserve">ottlenecks </w:t>
      </w:r>
      <w:r>
        <w:rPr>
          <w:sz w:val="20"/>
          <w:szCs w:val="20"/>
        </w:rPr>
        <w:t>can</w:t>
      </w:r>
      <w:r w:rsidRPr="00CC429C">
        <w:rPr>
          <w:sz w:val="20"/>
          <w:szCs w:val="20"/>
        </w:rPr>
        <w:t xml:space="preserve"> increase living costs and thus wages, and make areas less desirable as places to </w:t>
      </w:r>
      <w:r>
        <w:rPr>
          <w:sz w:val="20"/>
          <w:szCs w:val="20"/>
        </w:rPr>
        <w:t>live and work.</w:t>
      </w:r>
      <w:r w:rsidRPr="00CC429C">
        <w:rPr>
          <w:sz w:val="20"/>
          <w:szCs w:val="20"/>
        </w:rPr>
        <w:t xml:space="preserve"> </w:t>
      </w:r>
    </w:p>
    <w:p w14:paraId="3B31A19E" w14:textId="77777777" w:rsidR="00CC429C" w:rsidRPr="004E0F9F" w:rsidRDefault="00CC429C" w:rsidP="004E0F9F">
      <w:pPr>
        <w:pStyle w:val="DKMBodyText"/>
        <w:rPr>
          <w:rFonts w:asciiTheme="minorHAnsi" w:eastAsiaTheme="minorEastAsia" w:hAnsiTheme="minorHAnsi"/>
          <w:sz w:val="20"/>
          <w:szCs w:val="20"/>
          <w:lang w:eastAsia="en-IE"/>
        </w:rPr>
      </w:pPr>
    </w:p>
    <w:p w14:paraId="4F20CBA5" w14:textId="65DD3564" w:rsidR="00035A2F" w:rsidRDefault="009308D6" w:rsidP="00035A2F">
      <w:pPr>
        <w:autoSpaceDE w:val="0"/>
        <w:autoSpaceDN w:val="0"/>
        <w:adjustRightInd w:val="0"/>
        <w:rPr>
          <w:sz w:val="20"/>
          <w:szCs w:val="20"/>
        </w:rPr>
      </w:pPr>
      <w:r>
        <w:rPr>
          <w:sz w:val="20"/>
          <w:szCs w:val="20"/>
        </w:rPr>
        <w:t>Ensuring th</w:t>
      </w:r>
      <w:r w:rsidR="000F1227">
        <w:rPr>
          <w:sz w:val="20"/>
          <w:szCs w:val="20"/>
        </w:rPr>
        <w:t>at</w:t>
      </w:r>
      <w:r>
        <w:rPr>
          <w:sz w:val="20"/>
          <w:szCs w:val="20"/>
        </w:rPr>
        <w:t xml:space="preserve"> value for money is obtained with respect to infrastructure projects will </w:t>
      </w:r>
      <w:r w:rsidR="000F1227">
        <w:rPr>
          <w:sz w:val="20"/>
          <w:szCs w:val="20"/>
        </w:rPr>
        <w:t xml:space="preserve">involve two main objectives: keeping construction costs within or under budget and making sure the outcomes delivered produce the desired quality at an economic cost.  This can involve a </w:t>
      </w:r>
      <w:r w:rsidR="000F1227" w:rsidRPr="004E0F9F">
        <w:rPr>
          <w:sz w:val="20"/>
          <w:szCs w:val="20"/>
        </w:rPr>
        <w:t xml:space="preserve">comparison between </w:t>
      </w:r>
      <w:r w:rsidR="00035A2F">
        <w:rPr>
          <w:sz w:val="20"/>
          <w:szCs w:val="20"/>
        </w:rPr>
        <w:t xml:space="preserve">different procurement options, such as </w:t>
      </w:r>
      <w:r w:rsidR="00035A2F" w:rsidRPr="004E0F9F">
        <w:rPr>
          <w:sz w:val="20"/>
          <w:szCs w:val="20"/>
        </w:rPr>
        <w:t xml:space="preserve">the traditional public sector procurement route model </w:t>
      </w:r>
      <w:r w:rsidR="00035A2F">
        <w:rPr>
          <w:sz w:val="20"/>
          <w:szCs w:val="20"/>
        </w:rPr>
        <w:t xml:space="preserve">and PPP. Given existing fiscal constraints, the PPP route should be examined for major infrastructure projects which can facilitate economic development in the long-term.  </w:t>
      </w:r>
    </w:p>
    <w:p w14:paraId="7741A565" w14:textId="77777777" w:rsidR="00035A2F" w:rsidRDefault="00035A2F" w:rsidP="00035A2F">
      <w:pPr>
        <w:autoSpaceDE w:val="0"/>
        <w:autoSpaceDN w:val="0"/>
        <w:adjustRightInd w:val="0"/>
        <w:rPr>
          <w:sz w:val="20"/>
          <w:szCs w:val="20"/>
        </w:rPr>
      </w:pPr>
    </w:p>
    <w:p w14:paraId="40BE5B66" w14:textId="11364F48" w:rsidR="00594380" w:rsidRPr="00563B1B" w:rsidRDefault="00594380" w:rsidP="008C2311">
      <w:pPr>
        <w:pStyle w:val="DKMBodyText"/>
        <w:rPr>
          <w:rFonts w:asciiTheme="minorHAnsi" w:eastAsiaTheme="minorEastAsia" w:hAnsiTheme="minorHAnsi"/>
          <w:b/>
          <w:i/>
          <w:color w:val="005596"/>
          <w:sz w:val="20"/>
          <w:szCs w:val="20"/>
          <w:lang w:eastAsia="en-IE"/>
        </w:rPr>
      </w:pPr>
      <w:r w:rsidRPr="00563B1B">
        <w:rPr>
          <w:rFonts w:asciiTheme="minorHAnsi" w:eastAsiaTheme="minorEastAsia" w:hAnsiTheme="minorHAnsi"/>
          <w:b/>
          <w:i/>
          <w:color w:val="005596"/>
          <w:sz w:val="20"/>
          <w:szCs w:val="20"/>
          <w:lang w:eastAsia="en-IE"/>
        </w:rPr>
        <w:t>Infrastructure investment has a positive effect on economic growth and jobs</w:t>
      </w:r>
    </w:p>
    <w:p w14:paraId="77AEB812" w14:textId="61C541ED" w:rsidR="00CC429C" w:rsidRPr="00CC429C" w:rsidRDefault="008C2311" w:rsidP="008C2311">
      <w:pPr>
        <w:pStyle w:val="DKMBodyText"/>
        <w:rPr>
          <w:sz w:val="20"/>
          <w:szCs w:val="20"/>
        </w:rPr>
      </w:pPr>
      <w:r>
        <w:rPr>
          <w:rFonts w:asciiTheme="minorHAnsi" w:eastAsiaTheme="minorEastAsia" w:hAnsiTheme="minorHAnsi"/>
          <w:sz w:val="20"/>
          <w:szCs w:val="20"/>
          <w:lang w:eastAsia="en-IE"/>
        </w:rPr>
        <w:t>In terms of the employment impact of construction projects, an a</w:t>
      </w:r>
      <w:r w:rsidR="003A4DC5" w:rsidRPr="00CC429C">
        <w:rPr>
          <w:color w:val="000000" w:themeColor="text1"/>
          <w:sz w:val="20"/>
          <w:szCs w:val="20"/>
        </w:rPr>
        <w:t>nalysis from the Government Economic &amp; Evaluation Service estimate</w:t>
      </w:r>
      <w:r>
        <w:rPr>
          <w:color w:val="000000" w:themeColor="text1"/>
          <w:sz w:val="20"/>
          <w:szCs w:val="20"/>
        </w:rPr>
        <w:t>d</w:t>
      </w:r>
      <w:r w:rsidR="003A4DC5" w:rsidRPr="00CC429C">
        <w:rPr>
          <w:color w:val="000000" w:themeColor="text1"/>
          <w:sz w:val="20"/>
          <w:szCs w:val="20"/>
        </w:rPr>
        <w:t xml:space="preserve"> that a minimum of 12 job years are created in the construction sector for every €1 million worth of construction </w:t>
      </w:r>
      <w:r>
        <w:rPr>
          <w:color w:val="000000" w:themeColor="text1"/>
          <w:sz w:val="20"/>
          <w:szCs w:val="20"/>
        </w:rPr>
        <w:t>investment</w:t>
      </w:r>
      <w:r w:rsidR="003A4DC5" w:rsidRPr="00CC429C">
        <w:rPr>
          <w:color w:val="000000" w:themeColor="text1"/>
          <w:sz w:val="20"/>
          <w:szCs w:val="20"/>
        </w:rPr>
        <w:t>.</w:t>
      </w:r>
      <w:r w:rsidR="003A4DC5" w:rsidRPr="00CC429C">
        <w:rPr>
          <w:rStyle w:val="FootnoteReference"/>
          <w:rFonts w:cs="Tahoma"/>
          <w:sz w:val="20"/>
          <w:szCs w:val="20"/>
        </w:rPr>
        <w:footnoteReference w:id="46"/>
      </w:r>
      <w:r w:rsidR="003A4DC5" w:rsidRPr="00CC429C">
        <w:rPr>
          <w:color w:val="000000" w:themeColor="text1"/>
          <w:sz w:val="20"/>
          <w:szCs w:val="20"/>
        </w:rPr>
        <w:t xml:space="preserve"> Whilst this </w:t>
      </w:r>
      <w:r w:rsidR="00CC429C" w:rsidRPr="00CC429C">
        <w:rPr>
          <w:sz w:val="20"/>
          <w:szCs w:val="20"/>
        </w:rPr>
        <w:t xml:space="preserve">should not be its primary focus (infrastructure investment is not an end in itself), it is of course relevant. All else equal, an investment that entails more Irish employment should be favoured. </w:t>
      </w:r>
    </w:p>
    <w:p w14:paraId="05AEF2FB" w14:textId="77777777" w:rsidR="003A4DC5" w:rsidRPr="00AB215D" w:rsidRDefault="003A4DC5" w:rsidP="00AB215D">
      <w:pPr>
        <w:pStyle w:val="DKMBodyText"/>
        <w:rPr>
          <w:rFonts w:asciiTheme="minorHAnsi" w:hAnsiTheme="minorHAnsi"/>
          <w:color w:val="000000" w:themeColor="text1"/>
          <w:sz w:val="20"/>
          <w:szCs w:val="20"/>
        </w:rPr>
      </w:pPr>
    </w:p>
    <w:p w14:paraId="523EBE3C" w14:textId="3DC63A2D" w:rsidR="00804271" w:rsidRPr="00AB215D" w:rsidRDefault="008C2311" w:rsidP="00AB215D">
      <w:pPr>
        <w:pStyle w:val="DKMBodyText"/>
        <w:rPr>
          <w:rFonts w:asciiTheme="minorHAnsi" w:hAnsiTheme="minorHAnsi" w:cs="Arial"/>
          <w:color w:val="000000"/>
          <w:sz w:val="20"/>
          <w:szCs w:val="20"/>
        </w:rPr>
      </w:pPr>
      <w:r>
        <w:rPr>
          <w:rFonts w:asciiTheme="minorHAnsi" w:hAnsiTheme="minorHAnsi" w:cs="Arial"/>
          <w:color w:val="000000"/>
          <w:sz w:val="20"/>
          <w:szCs w:val="20"/>
        </w:rPr>
        <w:t>In a separate analysis undertaken by DKM, it was estimated that 10 direct and indirect FTE</w:t>
      </w:r>
      <w:r w:rsidR="00077C35">
        <w:rPr>
          <w:rFonts w:asciiTheme="minorHAnsi" w:hAnsiTheme="minorHAnsi" w:cs="Arial"/>
          <w:color w:val="000000"/>
          <w:sz w:val="20"/>
          <w:szCs w:val="20"/>
        </w:rPr>
        <w:t xml:space="preserve"> (full-time equivalent)</w:t>
      </w:r>
      <w:r>
        <w:rPr>
          <w:rFonts w:asciiTheme="minorHAnsi" w:hAnsiTheme="minorHAnsi" w:cs="Arial"/>
          <w:color w:val="000000"/>
          <w:sz w:val="20"/>
          <w:szCs w:val="20"/>
        </w:rPr>
        <w:t xml:space="preserve"> work years are generated per €1 million of construction investment. This increases to almost 12 FTE work years when induced impacts are taken into account. The impact on the Gross Value Added (GVA) was such that the direct and indirect multiplier associated with a €1 investment in construction raises economic activity by €0.7</w:t>
      </w:r>
      <w:r w:rsidR="00077C35">
        <w:rPr>
          <w:rFonts w:asciiTheme="minorHAnsi" w:hAnsiTheme="minorHAnsi" w:cs="Arial"/>
          <w:color w:val="000000"/>
          <w:sz w:val="20"/>
          <w:szCs w:val="20"/>
        </w:rPr>
        <w:t xml:space="preserve">. </w:t>
      </w:r>
      <w:r>
        <w:rPr>
          <w:rFonts w:asciiTheme="minorHAnsi" w:hAnsiTheme="minorHAnsi" w:cs="Arial"/>
          <w:color w:val="000000"/>
          <w:sz w:val="20"/>
          <w:szCs w:val="20"/>
        </w:rPr>
        <w:t xml:space="preserve"> </w:t>
      </w:r>
      <w:r w:rsidR="00077C35">
        <w:rPr>
          <w:rFonts w:asciiTheme="minorHAnsi" w:hAnsiTheme="minorHAnsi" w:cs="Arial"/>
          <w:color w:val="000000"/>
          <w:sz w:val="20"/>
          <w:szCs w:val="20"/>
        </w:rPr>
        <w:t xml:space="preserve">When induced impacts are included, the multiplier increases to €0.9. Thus a €1 million construction projects will, on average, increase economic activity by almost another €1 million euro, after all direct, indirect and induced impacts as well as imports are taken into account. These figures ignore the economic impact of the infrastructure put in place during its operational lifetime. </w:t>
      </w:r>
    </w:p>
    <w:p w14:paraId="470590F8" w14:textId="77777777" w:rsidR="00804271" w:rsidRPr="0063437E" w:rsidRDefault="00804271" w:rsidP="0063437E">
      <w:pPr>
        <w:pStyle w:val="DKM2"/>
      </w:pPr>
      <w:bookmarkStart w:id="26" w:name="_Toc478116691"/>
      <w:r w:rsidRPr="0063437E">
        <w:t>Recommendations</w:t>
      </w:r>
      <w:bookmarkEnd w:id="26"/>
    </w:p>
    <w:p w14:paraId="4159A183" w14:textId="77777777" w:rsidR="007E0916" w:rsidRPr="002028F7" w:rsidRDefault="007E0916" w:rsidP="006A5CF7">
      <w:pPr>
        <w:pStyle w:val="DKMBody"/>
        <w:numPr>
          <w:ilvl w:val="0"/>
          <w:numId w:val="30"/>
        </w:numPr>
        <w:ind w:left="284"/>
        <w:rPr>
          <w:sz w:val="20"/>
          <w:szCs w:val="20"/>
        </w:rPr>
      </w:pPr>
      <w:r w:rsidRPr="002028F7">
        <w:rPr>
          <w:sz w:val="20"/>
          <w:szCs w:val="20"/>
        </w:rPr>
        <w:t xml:space="preserve">The Irish Fiscal Advisory Council has expressed concern that Ireland’s quantum of capital expenditure is barely covering the </w:t>
      </w:r>
      <w:r w:rsidRPr="00AD15F6">
        <w:rPr>
          <w:sz w:val="20"/>
          <w:szCs w:val="20"/>
        </w:rPr>
        <w:t>depreciation costs</w:t>
      </w:r>
      <w:r w:rsidRPr="002028F7">
        <w:rPr>
          <w:sz w:val="20"/>
          <w:szCs w:val="20"/>
        </w:rPr>
        <w:t xml:space="preserve"> of </w:t>
      </w:r>
      <w:r>
        <w:rPr>
          <w:sz w:val="20"/>
          <w:szCs w:val="20"/>
        </w:rPr>
        <w:t>the capital stock</w:t>
      </w:r>
      <w:r w:rsidRPr="002028F7">
        <w:rPr>
          <w:sz w:val="20"/>
          <w:szCs w:val="20"/>
        </w:rPr>
        <w:t xml:space="preserve">. If additional finance </w:t>
      </w:r>
      <w:r>
        <w:rPr>
          <w:sz w:val="20"/>
          <w:szCs w:val="20"/>
        </w:rPr>
        <w:t>does not become</w:t>
      </w:r>
      <w:r w:rsidRPr="002028F7">
        <w:rPr>
          <w:sz w:val="20"/>
          <w:szCs w:val="20"/>
        </w:rPr>
        <w:t xml:space="preserve"> available, this increase</w:t>
      </w:r>
      <w:r>
        <w:rPr>
          <w:sz w:val="20"/>
          <w:szCs w:val="20"/>
        </w:rPr>
        <w:t>s</w:t>
      </w:r>
      <w:r w:rsidRPr="002028F7">
        <w:rPr>
          <w:sz w:val="20"/>
          <w:szCs w:val="20"/>
        </w:rPr>
        <w:t xml:space="preserve"> costs </w:t>
      </w:r>
      <w:r>
        <w:rPr>
          <w:sz w:val="20"/>
          <w:szCs w:val="20"/>
        </w:rPr>
        <w:t xml:space="preserve">in the economy </w:t>
      </w:r>
      <w:r w:rsidRPr="002028F7">
        <w:rPr>
          <w:sz w:val="20"/>
          <w:szCs w:val="20"/>
        </w:rPr>
        <w:t>in the short term (as poorer infrastructure reduces efficiency) and in the medium- and long-term (due to the need to upgrade</w:t>
      </w:r>
      <w:r w:rsidRPr="00BD737F">
        <w:rPr>
          <w:sz w:val="20"/>
          <w:szCs w:val="20"/>
        </w:rPr>
        <w:t xml:space="preserve">). At a minimum, </w:t>
      </w:r>
      <w:r w:rsidRPr="00AD15F6">
        <w:rPr>
          <w:b/>
          <w:sz w:val="20"/>
          <w:szCs w:val="20"/>
        </w:rPr>
        <w:t xml:space="preserve">the quantum of expenditure allocated to capital projects should be sufficient to cover depreciation </w:t>
      </w:r>
      <w:r w:rsidRPr="00AD15F6">
        <w:rPr>
          <w:b/>
          <w:sz w:val="20"/>
          <w:szCs w:val="20"/>
          <w:u w:val="single"/>
        </w:rPr>
        <w:t>and</w:t>
      </w:r>
      <w:r w:rsidRPr="00AD15F6">
        <w:rPr>
          <w:b/>
          <w:sz w:val="20"/>
          <w:szCs w:val="20"/>
        </w:rPr>
        <w:t xml:space="preserve"> tackle the backlog</w:t>
      </w:r>
      <w:r w:rsidRPr="00BD737F">
        <w:rPr>
          <w:sz w:val="20"/>
          <w:szCs w:val="20"/>
        </w:rPr>
        <w:t xml:space="preserve"> in a number of sectors, notably housing, transport, health and education.  </w:t>
      </w:r>
    </w:p>
    <w:p w14:paraId="269606AB" w14:textId="77777777" w:rsidR="007E0916" w:rsidRPr="002028F7" w:rsidRDefault="007E0916" w:rsidP="006A5CF7">
      <w:pPr>
        <w:pStyle w:val="DKMBody"/>
        <w:ind w:left="284" w:hanging="284"/>
        <w:rPr>
          <w:sz w:val="20"/>
          <w:szCs w:val="20"/>
        </w:rPr>
      </w:pPr>
    </w:p>
    <w:p w14:paraId="2B35B4B7" w14:textId="28ED4546" w:rsidR="007E0916" w:rsidRDefault="007E0916" w:rsidP="006A5CF7">
      <w:pPr>
        <w:pStyle w:val="DKMBody"/>
        <w:numPr>
          <w:ilvl w:val="0"/>
          <w:numId w:val="30"/>
        </w:numPr>
        <w:ind w:left="284"/>
        <w:rPr>
          <w:sz w:val="20"/>
          <w:szCs w:val="20"/>
        </w:rPr>
      </w:pPr>
      <w:r w:rsidRPr="002028F7">
        <w:rPr>
          <w:sz w:val="20"/>
          <w:szCs w:val="20"/>
        </w:rPr>
        <w:t xml:space="preserve">There is a clear need to invest heavily in </w:t>
      </w:r>
      <w:r w:rsidRPr="00AD15F6">
        <w:rPr>
          <w:b/>
          <w:sz w:val="20"/>
          <w:szCs w:val="20"/>
        </w:rPr>
        <w:t>transport infrastructure</w:t>
      </w:r>
      <w:r w:rsidRPr="002028F7">
        <w:rPr>
          <w:sz w:val="20"/>
          <w:szCs w:val="20"/>
        </w:rPr>
        <w:t xml:space="preserve"> over the coming years, so as to support both </w:t>
      </w:r>
      <w:r w:rsidRPr="00AD15F6">
        <w:rPr>
          <w:sz w:val="20"/>
          <w:szCs w:val="20"/>
        </w:rPr>
        <w:t>population growth and competiveness</w:t>
      </w:r>
      <w:r w:rsidRPr="002028F7">
        <w:rPr>
          <w:sz w:val="20"/>
          <w:szCs w:val="20"/>
        </w:rPr>
        <w:t xml:space="preserve">. In particular, as Dublin is one of the most congested cities in Europe, measures that address this problem will lead to productivity gains for the </w:t>
      </w:r>
      <w:r>
        <w:rPr>
          <w:sz w:val="20"/>
          <w:szCs w:val="20"/>
        </w:rPr>
        <w:t>economy</w:t>
      </w:r>
      <w:r w:rsidRPr="002028F7">
        <w:rPr>
          <w:sz w:val="20"/>
          <w:szCs w:val="20"/>
        </w:rPr>
        <w:t xml:space="preserve">. In turn, this will increase competitiveness. </w:t>
      </w:r>
    </w:p>
    <w:p w14:paraId="51FEEB08" w14:textId="77777777" w:rsidR="007E0916" w:rsidRDefault="007E0916" w:rsidP="006A5CF7">
      <w:pPr>
        <w:pStyle w:val="DKMBody"/>
        <w:ind w:left="284" w:hanging="284"/>
        <w:rPr>
          <w:sz w:val="20"/>
          <w:szCs w:val="20"/>
        </w:rPr>
      </w:pPr>
    </w:p>
    <w:p w14:paraId="1E7E8C47" w14:textId="77777777" w:rsidR="007E0916" w:rsidRPr="002028F7" w:rsidRDefault="007E0916" w:rsidP="006A5CF7">
      <w:pPr>
        <w:pStyle w:val="DKMBody"/>
        <w:numPr>
          <w:ilvl w:val="0"/>
          <w:numId w:val="30"/>
        </w:numPr>
        <w:ind w:left="284"/>
        <w:rPr>
          <w:sz w:val="20"/>
          <w:szCs w:val="20"/>
        </w:rPr>
      </w:pPr>
      <w:r w:rsidRPr="002028F7">
        <w:rPr>
          <w:sz w:val="20"/>
          <w:szCs w:val="20"/>
        </w:rPr>
        <w:t xml:space="preserve">The prospect of some form of </w:t>
      </w:r>
      <w:r w:rsidRPr="00AD15F6">
        <w:rPr>
          <w:sz w:val="20"/>
          <w:szCs w:val="20"/>
        </w:rPr>
        <w:t>customs checks</w:t>
      </w:r>
      <w:r w:rsidRPr="002028F7">
        <w:rPr>
          <w:sz w:val="20"/>
          <w:szCs w:val="20"/>
        </w:rPr>
        <w:t xml:space="preserve"> on the border between Northern Ireland and Ireland, and with that delays to travel times, will reduce the productivity of </w:t>
      </w:r>
      <w:r>
        <w:rPr>
          <w:sz w:val="20"/>
          <w:szCs w:val="20"/>
        </w:rPr>
        <w:t xml:space="preserve">cross-border </w:t>
      </w:r>
      <w:r w:rsidRPr="002028F7">
        <w:rPr>
          <w:sz w:val="20"/>
          <w:szCs w:val="20"/>
        </w:rPr>
        <w:t xml:space="preserve">road users. Improvements to the </w:t>
      </w:r>
      <w:r w:rsidRPr="00594380">
        <w:rPr>
          <w:b/>
          <w:sz w:val="20"/>
          <w:szCs w:val="20"/>
        </w:rPr>
        <w:t>road network around the border region</w:t>
      </w:r>
      <w:r w:rsidRPr="00FF05EA">
        <w:rPr>
          <w:sz w:val="20"/>
          <w:szCs w:val="20"/>
        </w:rPr>
        <w:t xml:space="preserve"> would</w:t>
      </w:r>
      <w:r w:rsidRPr="002028F7">
        <w:rPr>
          <w:sz w:val="20"/>
          <w:szCs w:val="20"/>
        </w:rPr>
        <w:t xml:space="preserve"> mitigate these losses to </w:t>
      </w:r>
      <w:r w:rsidRPr="00AD15F6">
        <w:rPr>
          <w:sz w:val="20"/>
          <w:szCs w:val="20"/>
        </w:rPr>
        <w:t>productivity</w:t>
      </w:r>
      <w:r w:rsidRPr="002028F7">
        <w:rPr>
          <w:sz w:val="20"/>
          <w:szCs w:val="20"/>
        </w:rPr>
        <w:t xml:space="preserve"> whilst also increasing </w:t>
      </w:r>
      <w:r w:rsidRPr="00AD15F6">
        <w:rPr>
          <w:sz w:val="20"/>
          <w:szCs w:val="20"/>
        </w:rPr>
        <w:t>road quality</w:t>
      </w:r>
      <w:r w:rsidRPr="002028F7">
        <w:rPr>
          <w:sz w:val="20"/>
          <w:szCs w:val="20"/>
        </w:rPr>
        <w:t xml:space="preserve"> in a broader sense. </w:t>
      </w:r>
    </w:p>
    <w:p w14:paraId="77D83A9C" w14:textId="77777777" w:rsidR="007E0916" w:rsidRPr="002028F7" w:rsidRDefault="007E0916" w:rsidP="006A5CF7">
      <w:pPr>
        <w:pStyle w:val="DKMBody"/>
        <w:ind w:left="284" w:hanging="284"/>
        <w:rPr>
          <w:sz w:val="20"/>
          <w:szCs w:val="20"/>
        </w:rPr>
      </w:pPr>
    </w:p>
    <w:p w14:paraId="3D4D6311" w14:textId="77777777" w:rsidR="007E0916" w:rsidRPr="002028F7" w:rsidRDefault="007E0916" w:rsidP="006A5CF7">
      <w:pPr>
        <w:pStyle w:val="DKMBody"/>
        <w:numPr>
          <w:ilvl w:val="0"/>
          <w:numId w:val="30"/>
        </w:numPr>
        <w:ind w:left="284"/>
        <w:rPr>
          <w:sz w:val="20"/>
          <w:szCs w:val="20"/>
        </w:rPr>
      </w:pPr>
      <w:r w:rsidRPr="002028F7">
        <w:rPr>
          <w:sz w:val="20"/>
          <w:szCs w:val="20"/>
        </w:rPr>
        <w:t xml:space="preserve">The </w:t>
      </w:r>
      <w:r w:rsidRPr="00AD15F6">
        <w:rPr>
          <w:b/>
          <w:sz w:val="20"/>
          <w:szCs w:val="20"/>
        </w:rPr>
        <w:t>ageing of the population</w:t>
      </w:r>
      <w:r w:rsidRPr="002028F7">
        <w:rPr>
          <w:sz w:val="20"/>
          <w:szCs w:val="20"/>
        </w:rPr>
        <w:t xml:space="preserve"> over the coming years will increase demand for services for older people. Whilst the private sector is likely </w:t>
      </w:r>
      <w:r w:rsidRPr="00FF05EA">
        <w:rPr>
          <w:sz w:val="20"/>
          <w:szCs w:val="20"/>
        </w:rPr>
        <w:t>to build nursing homes</w:t>
      </w:r>
      <w:r w:rsidRPr="002028F7">
        <w:rPr>
          <w:sz w:val="20"/>
          <w:szCs w:val="20"/>
        </w:rPr>
        <w:t xml:space="preserve"> and retirement communities to cater for private demand, the State should ensure that public demand is catered for too. Capital investment that addresses these coming bottlenecks will free up housing stock and prevent old-age inequalities. </w:t>
      </w:r>
    </w:p>
    <w:p w14:paraId="5CDE4855" w14:textId="77777777" w:rsidR="007E0916" w:rsidRPr="002028F7" w:rsidRDefault="007E0916" w:rsidP="006A5CF7">
      <w:pPr>
        <w:pStyle w:val="DKMBody"/>
        <w:ind w:left="284" w:hanging="284"/>
        <w:rPr>
          <w:sz w:val="20"/>
          <w:szCs w:val="20"/>
        </w:rPr>
      </w:pPr>
    </w:p>
    <w:p w14:paraId="5689D7D1" w14:textId="77777777" w:rsidR="007E0916" w:rsidRPr="002028F7" w:rsidRDefault="007E0916" w:rsidP="006A5CF7">
      <w:pPr>
        <w:pStyle w:val="DKMBody"/>
        <w:numPr>
          <w:ilvl w:val="0"/>
          <w:numId w:val="30"/>
        </w:numPr>
        <w:ind w:left="284"/>
        <w:rPr>
          <w:sz w:val="20"/>
          <w:szCs w:val="20"/>
        </w:rPr>
      </w:pPr>
      <w:r w:rsidRPr="002028F7">
        <w:rPr>
          <w:sz w:val="20"/>
          <w:szCs w:val="20"/>
        </w:rPr>
        <w:t xml:space="preserve">Population growth in the period 2011-2016 was greatest in Dublin, its surrounding counties, and Cork and Galway, suggesting that urbanisation increased during the recession. </w:t>
      </w:r>
      <w:r>
        <w:rPr>
          <w:sz w:val="20"/>
          <w:szCs w:val="20"/>
        </w:rPr>
        <w:t xml:space="preserve">With publication of the </w:t>
      </w:r>
      <w:r w:rsidRPr="00AD15F6">
        <w:rPr>
          <w:b/>
          <w:sz w:val="20"/>
          <w:szCs w:val="20"/>
        </w:rPr>
        <w:t>National Planning Framework</w:t>
      </w:r>
      <w:r>
        <w:rPr>
          <w:sz w:val="20"/>
          <w:szCs w:val="20"/>
        </w:rPr>
        <w:t xml:space="preserve">, it </w:t>
      </w:r>
      <w:r w:rsidRPr="002028F7">
        <w:rPr>
          <w:sz w:val="20"/>
          <w:szCs w:val="20"/>
        </w:rPr>
        <w:t xml:space="preserve">is expected </w:t>
      </w:r>
      <w:r>
        <w:rPr>
          <w:sz w:val="20"/>
          <w:szCs w:val="20"/>
        </w:rPr>
        <w:t xml:space="preserve">that this trend will </w:t>
      </w:r>
      <w:r w:rsidRPr="002028F7">
        <w:rPr>
          <w:sz w:val="20"/>
          <w:szCs w:val="20"/>
        </w:rPr>
        <w:t xml:space="preserve">continue over the coming years, with Dublin and the Mid-East </w:t>
      </w:r>
      <w:r>
        <w:rPr>
          <w:sz w:val="20"/>
          <w:szCs w:val="20"/>
        </w:rPr>
        <w:t xml:space="preserve">likely </w:t>
      </w:r>
      <w:r w:rsidRPr="002028F7">
        <w:rPr>
          <w:sz w:val="20"/>
          <w:szCs w:val="20"/>
        </w:rPr>
        <w:t xml:space="preserve">to grow at faster rates than other regions.  </w:t>
      </w:r>
      <w:r w:rsidRPr="00FF05EA">
        <w:rPr>
          <w:sz w:val="20"/>
          <w:szCs w:val="20"/>
        </w:rPr>
        <w:t>Although investment should be needs-based and should focus on the regions where demand is highest, this should not be at the expense of other regions.</w:t>
      </w:r>
      <w:r w:rsidRPr="002028F7">
        <w:rPr>
          <w:sz w:val="20"/>
          <w:szCs w:val="20"/>
        </w:rPr>
        <w:t xml:space="preserve"> </w:t>
      </w:r>
    </w:p>
    <w:p w14:paraId="4402FABB" w14:textId="77777777" w:rsidR="007E0916" w:rsidRDefault="007E0916" w:rsidP="006A5CF7">
      <w:pPr>
        <w:pStyle w:val="DKMBodyText"/>
        <w:ind w:left="284" w:hanging="284"/>
        <w:rPr>
          <w:rFonts w:asciiTheme="minorHAnsi" w:hAnsiTheme="minorHAnsi"/>
        </w:rPr>
      </w:pPr>
    </w:p>
    <w:p w14:paraId="42EAA79B" w14:textId="2A3205F6" w:rsidR="007E0916" w:rsidRDefault="007E0916" w:rsidP="006A5CF7">
      <w:pPr>
        <w:pStyle w:val="DKMBodyText"/>
        <w:numPr>
          <w:ilvl w:val="0"/>
          <w:numId w:val="30"/>
        </w:numPr>
        <w:ind w:left="284"/>
        <w:rPr>
          <w:rFonts w:asciiTheme="minorHAnsi" w:hAnsiTheme="minorHAnsi"/>
          <w:sz w:val="20"/>
          <w:szCs w:val="20"/>
        </w:rPr>
      </w:pPr>
      <w:r w:rsidRPr="007E0916">
        <w:rPr>
          <w:rFonts w:asciiTheme="minorHAnsi" w:hAnsiTheme="minorHAnsi"/>
          <w:sz w:val="20"/>
          <w:szCs w:val="20"/>
        </w:rPr>
        <w:t xml:space="preserve">The </w:t>
      </w:r>
      <w:r w:rsidRPr="00AD15F6">
        <w:rPr>
          <w:rFonts w:asciiTheme="minorHAnsi" w:hAnsiTheme="minorHAnsi"/>
          <w:b/>
          <w:sz w:val="20"/>
          <w:szCs w:val="20"/>
        </w:rPr>
        <w:t>mid-term review of the Capital Plan</w:t>
      </w:r>
      <w:r w:rsidRPr="007E0916">
        <w:rPr>
          <w:rFonts w:asciiTheme="minorHAnsi" w:hAnsiTheme="minorHAnsi"/>
          <w:sz w:val="20"/>
          <w:szCs w:val="20"/>
        </w:rPr>
        <w:t xml:space="preserve"> </w:t>
      </w:r>
      <w:r>
        <w:rPr>
          <w:rFonts w:asciiTheme="minorHAnsi" w:hAnsiTheme="minorHAnsi"/>
          <w:sz w:val="20"/>
          <w:szCs w:val="20"/>
        </w:rPr>
        <w:t xml:space="preserve">should examine best practice in terms of the planning and institutional framework for the roll out of capital infrastructure projects. </w:t>
      </w:r>
    </w:p>
    <w:p w14:paraId="2E1A64F9" w14:textId="77777777" w:rsidR="006A5CF7" w:rsidRDefault="006A5CF7" w:rsidP="006A5CF7">
      <w:pPr>
        <w:pStyle w:val="ListParagraph"/>
        <w:rPr>
          <w:rFonts w:asciiTheme="minorHAnsi" w:hAnsiTheme="minorHAnsi"/>
          <w:sz w:val="20"/>
          <w:szCs w:val="20"/>
        </w:rPr>
      </w:pPr>
    </w:p>
    <w:p w14:paraId="2885BFC3" w14:textId="34F82AE0" w:rsidR="006A5CF7" w:rsidRDefault="006A5CF7" w:rsidP="006A5CF7">
      <w:pPr>
        <w:pStyle w:val="DKMBodyText"/>
        <w:ind w:left="284"/>
        <w:rPr>
          <w:rFonts w:asciiTheme="minorHAnsi" w:hAnsiTheme="minorHAnsi"/>
          <w:sz w:val="20"/>
          <w:szCs w:val="20"/>
        </w:rPr>
      </w:pPr>
      <w:r>
        <w:rPr>
          <w:rFonts w:asciiTheme="minorHAnsi" w:hAnsiTheme="minorHAnsi"/>
          <w:sz w:val="20"/>
          <w:szCs w:val="20"/>
        </w:rPr>
        <w:br w:type="page"/>
      </w:r>
    </w:p>
    <w:p w14:paraId="6F8942AC" w14:textId="410803E6" w:rsidR="00262638" w:rsidRPr="008766F7" w:rsidRDefault="005B79FC" w:rsidP="00262638">
      <w:pPr>
        <w:pStyle w:val="DKM1"/>
        <w:spacing w:line="276" w:lineRule="auto"/>
        <w:rPr>
          <w:rFonts w:asciiTheme="minorHAnsi" w:hAnsiTheme="minorHAnsi"/>
          <w:sz w:val="24"/>
          <w:szCs w:val="24"/>
        </w:rPr>
      </w:pPr>
      <w:bookmarkStart w:id="27" w:name="_Toc478116692"/>
      <w:r w:rsidRPr="008766F7">
        <w:rPr>
          <w:rFonts w:asciiTheme="minorHAnsi" w:hAnsiTheme="minorHAnsi"/>
          <w:sz w:val="24"/>
          <w:szCs w:val="24"/>
        </w:rPr>
        <w:t>Public Capital Investment</w:t>
      </w:r>
      <w:r w:rsidR="00D97110" w:rsidRPr="008766F7">
        <w:rPr>
          <w:rFonts w:asciiTheme="minorHAnsi" w:hAnsiTheme="minorHAnsi"/>
          <w:sz w:val="24"/>
          <w:szCs w:val="24"/>
        </w:rPr>
        <w:t xml:space="preserve"> </w:t>
      </w:r>
      <w:r w:rsidR="00FD03B0" w:rsidRPr="008766F7">
        <w:rPr>
          <w:rFonts w:asciiTheme="minorHAnsi" w:hAnsiTheme="minorHAnsi"/>
          <w:sz w:val="24"/>
          <w:szCs w:val="24"/>
        </w:rPr>
        <w:t>Trends</w:t>
      </w:r>
      <w:bookmarkEnd w:id="27"/>
    </w:p>
    <w:p w14:paraId="7FCFA269" w14:textId="5D7383E4" w:rsidR="00262638" w:rsidRPr="00C47170" w:rsidRDefault="00262638" w:rsidP="00262638">
      <w:pPr>
        <w:pStyle w:val="DKM2"/>
        <w:rPr>
          <w:sz w:val="22"/>
          <w:szCs w:val="22"/>
        </w:rPr>
      </w:pPr>
      <w:bookmarkStart w:id="28" w:name="_Toc478116693"/>
      <w:r w:rsidRPr="00C47170">
        <w:rPr>
          <w:sz w:val="22"/>
          <w:szCs w:val="22"/>
        </w:rPr>
        <w:t>Public Capital Investment Review</w:t>
      </w:r>
      <w:bookmarkEnd w:id="28"/>
    </w:p>
    <w:p w14:paraId="0F654E93" w14:textId="5B990B49" w:rsidR="00A11020" w:rsidRDefault="00A11020" w:rsidP="005D6F2D">
      <w:pPr>
        <w:autoSpaceDE w:val="0"/>
        <w:autoSpaceDN w:val="0"/>
        <w:adjustRightInd w:val="0"/>
        <w:rPr>
          <w:rFonts w:cs="HelveticaNeue-Light"/>
          <w:sz w:val="20"/>
          <w:szCs w:val="20"/>
        </w:rPr>
      </w:pPr>
      <w:r>
        <w:rPr>
          <w:rFonts w:cs="HelveticaNeue-Light"/>
          <w:sz w:val="20"/>
          <w:szCs w:val="20"/>
        </w:rPr>
        <w:t>The allocations for capital investment are published at the time of the Budget each year. More detail follows with publication of the Revised Estimates for Public Services each year by the Department of Public Expenditure and Reform</w:t>
      </w:r>
      <w:r w:rsidR="008311B7">
        <w:rPr>
          <w:rFonts w:cs="HelveticaNeue-Light"/>
          <w:sz w:val="20"/>
          <w:szCs w:val="20"/>
        </w:rPr>
        <w:t xml:space="preserve"> (DPER)</w:t>
      </w:r>
      <w:r>
        <w:rPr>
          <w:rFonts w:cs="HelveticaNeue-Light"/>
          <w:sz w:val="20"/>
          <w:szCs w:val="20"/>
        </w:rPr>
        <w:t>.</w:t>
      </w:r>
      <w:r>
        <w:rPr>
          <w:rStyle w:val="FootnoteReference"/>
          <w:rFonts w:cs="HelveticaNeue-Light"/>
          <w:sz w:val="20"/>
          <w:szCs w:val="20"/>
        </w:rPr>
        <w:footnoteReference w:id="47"/>
      </w:r>
      <w:r>
        <w:rPr>
          <w:rFonts w:cs="HelveticaNeue-Light"/>
          <w:sz w:val="20"/>
          <w:szCs w:val="20"/>
        </w:rPr>
        <w:t xml:space="preserve">  </w:t>
      </w:r>
    </w:p>
    <w:p w14:paraId="301E29B5" w14:textId="77777777" w:rsidR="00A11020" w:rsidRDefault="00A11020" w:rsidP="005D6F2D">
      <w:pPr>
        <w:autoSpaceDE w:val="0"/>
        <w:autoSpaceDN w:val="0"/>
        <w:adjustRightInd w:val="0"/>
        <w:rPr>
          <w:rFonts w:cs="HelveticaNeue-Light"/>
          <w:sz w:val="20"/>
          <w:szCs w:val="20"/>
        </w:rPr>
      </w:pPr>
    </w:p>
    <w:p w14:paraId="042F83F2" w14:textId="1AFAB587" w:rsidR="003A4DC5" w:rsidRPr="008311B7" w:rsidRDefault="003A4DC5" w:rsidP="005D6F2D">
      <w:pPr>
        <w:autoSpaceDE w:val="0"/>
        <w:autoSpaceDN w:val="0"/>
        <w:adjustRightInd w:val="0"/>
        <w:rPr>
          <w:rFonts w:cs="HelveticaNeue-Light"/>
          <w:strike/>
          <w:sz w:val="20"/>
          <w:szCs w:val="20"/>
        </w:rPr>
      </w:pPr>
      <w:r w:rsidRPr="00AB215D">
        <w:rPr>
          <w:rFonts w:cs="HelveticaNeue-Light"/>
          <w:sz w:val="20"/>
          <w:szCs w:val="20"/>
        </w:rPr>
        <w:t xml:space="preserve">Table 2.1 provides a breakdown of exchequer voted capital expenditure and total expenditure on capital (including both exchequer and non-exchequer spending) </w:t>
      </w:r>
      <w:r w:rsidR="00310DD1" w:rsidRPr="00B7743F">
        <w:rPr>
          <w:rFonts w:cs="HelveticaNeue-Light"/>
          <w:sz w:val="20"/>
          <w:szCs w:val="20"/>
        </w:rPr>
        <w:t>as provided for in the Public Capital Programme (PCP)</w:t>
      </w:r>
      <w:r w:rsidR="00310DD1">
        <w:rPr>
          <w:rFonts w:cs="HelveticaNeue-Light"/>
          <w:sz w:val="20"/>
          <w:szCs w:val="20"/>
        </w:rPr>
        <w:t xml:space="preserve"> </w:t>
      </w:r>
      <w:r w:rsidRPr="00AB215D">
        <w:rPr>
          <w:rFonts w:cs="HelveticaNeue-Light"/>
          <w:sz w:val="20"/>
          <w:szCs w:val="20"/>
        </w:rPr>
        <w:t xml:space="preserve">over the period 2008 to 2017. Voted capital expenditure in 2017 is roughly half what it had been in 2008, whilst total expenditure on capital in 2017 is almost two-thirds what it had been in 2008. </w:t>
      </w:r>
      <w:r w:rsidRPr="008311B7">
        <w:rPr>
          <w:rFonts w:cs="HelveticaNeue-Light"/>
          <w:strike/>
          <w:sz w:val="20"/>
          <w:szCs w:val="20"/>
        </w:rPr>
        <w:t xml:space="preserve"> </w:t>
      </w:r>
    </w:p>
    <w:p w14:paraId="2DE59BCE" w14:textId="26F4B52B" w:rsidR="003A4DC5" w:rsidRPr="00B7743F" w:rsidRDefault="00A11020" w:rsidP="003A4DC5">
      <w:pPr>
        <w:pStyle w:val="DKMTable"/>
        <w:spacing w:line="276" w:lineRule="auto"/>
      </w:pPr>
      <w:bookmarkStart w:id="29" w:name="_Toc478116719"/>
      <w:r w:rsidRPr="00B7743F">
        <w:t xml:space="preserve">Public </w:t>
      </w:r>
      <w:r w:rsidR="003A4DC5" w:rsidRPr="00B7743F">
        <w:t>Capital Expenditure 2008-2017</w:t>
      </w:r>
      <w:bookmarkEnd w:id="29"/>
    </w:p>
    <w:tbl>
      <w:tblPr>
        <w:tblStyle w:val="ColorfulList-Accent1"/>
        <w:tblW w:w="8114" w:type="dxa"/>
        <w:tblInd w:w="-426" w:type="dxa"/>
        <w:tblLook w:val="04A0" w:firstRow="1" w:lastRow="0" w:firstColumn="1" w:lastColumn="0" w:noHBand="0" w:noVBand="1"/>
      </w:tblPr>
      <w:tblGrid>
        <w:gridCol w:w="1843"/>
        <w:gridCol w:w="142"/>
        <w:gridCol w:w="520"/>
        <w:gridCol w:w="142"/>
        <w:gridCol w:w="520"/>
        <w:gridCol w:w="142"/>
        <w:gridCol w:w="520"/>
        <w:gridCol w:w="142"/>
        <w:gridCol w:w="439"/>
        <w:gridCol w:w="142"/>
        <w:gridCol w:w="468"/>
        <w:gridCol w:w="142"/>
        <w:gridCol w:w="468"/>
        <w:gridCol w:w="142"/>
        <w:gridCol w:w="468"/>
        <w:gridCol w:w="142"/>
        <w:gridCol w:w="468"/>
        <w:gridCol w:w="142"/>
        <w:gridCol w:w="439"/>
        <w:gridCol w:w="142"/>
        <w:gridCol w:w="541"/>
      </w:tblGrid>
      <w:tr w:rsidR="003A4DC5" w:rsidRPr="00310DD1" w14:paraId="5C7BD535" w14:textId="77777777" w:rsidTr="00310DD1">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14:paraId="5C96ECD9" w14:textId="77777777" w:rsidR="003A4DC5" w:rsidRPr="00310DD1" w:rsidRDefault="003A4DC5" w:rsidP="003A4DC5">
            <w:pPr>
              <w:spacing w:line="276" w:lineRule="auto"/>
              <w:rPr>
                <w:rFonts w:eastAsia="Times New Roman" w:cs="Times New Roman"/>
                <w:bCs w:val="0"/>
                <w:color w:val="FFFFFF"/>
                <w:sz w:val="16"/>
                <w:szCs w:val="16"/>
              </w:rPr>
            </w:pPr>
            <w:r w:rsidRPr="00310DD1">
              <w:rPr>
                <w:rFonts w:eastAsia="Times New Roman" w:cs="Times New Roman"/>
                <w:bCs w:val="0"/>
                <w:color w:val="FFFFFF"/>
                <w:sz w:val="16"/>
                <w:szCs w:val="16"/>
              </w:rPr>
              <w:t>Source</w:t>
            </w:r>
          </w:p>
        </w:tc>
        <w:tc>
          <w:tcPr>
            <w:tcW w:w="662" w:type="dxa"/>
            <w:gridSpan w:val="2"/>
            <w:noWrap/>
            <w:hideMark/>
          </w:tcPr>
          <w:p w14:paraId="250937D2" w14:textId="77777777" w:rsidR="003A4DC5" w:rsidRPr="00310DD1" w:rsidRDefault="003A4DC5" w:rsidP="003A4DC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6"/>
                <w:szCs w:val="16"/>
              </w:rPr>
            </w:pPr>
            <w:r w:rsidRPr="00310DD1">
              <w:rPr>
                <w:rFonts w:eastAsia="Times New Roman" w:cs="Times New Roman"/>
                <w:bCs w:val="0"/>
                <w:color w:val="FFFFFF"/>
                <w:sz w:val="16"/>
                <w:szCs w:val="16"/>
              </w:rPr>
              <w:t>2008</w:t>
            </w:r>
          </w:p>
        </w:tc>
        <w:tc>
          <w:tcPr>
            <w:tcW w:w="662" w:type="dxa"/>
            <w:gridSpan w:val="2"/>
            <w:noWrap/>
            <w:hideMark/>
          </w:tcPr>
          <w:p w14:paraId="6DAF37D9" w14:textId="77777777" w:rsidR="003A4DC5" w:rsidRPr="00310DD1" w:rsidRDefault="003A4DC5" w:rsidP="003A4DC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6"/>
                <w:szCs w:val="16"/>
              </w:rPr>
            </w:pPr>
            <w:r w:rsidRPr="00310DD1">
              <w:rPr>
                <w:rFonts w:eastAsia="Times New Roman" w:cs="Times New Roman"/>
                <w:bCs w:val="0"/>
                <w:color w:val="FFFFFF"/>
                <w:sz w:val="16"/>
                <w:szCs w:val="16"/>
              </w:rPr>
              <w:t>2009</w:t>
            </w:r>
          </w:p>
        </w:tc>
        <w:tc>
          <w:tcPr>
            <w:tcW w:w="662" w:type="dxa"/>
            <w:gridSpan w:val="2"/>
            <w:noWrap/>
            <w:hideMark/>
          </w:tcPr>
          <w:p w14:paraId="75FE6163" w14:textId="77777777" w:rsidR="003A4DC5" w:rsidRPr="00310DD1" w:rsidRDefault="003A4DC5" w:rsidP="003A4DC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6"/>
                <w:szCs w:val="16"/>
              </w:rPr>
            </w:pPr>
            <w:r w:rsidRPr="00310DD1">
              <w:rPr>
                <w:rFonts w:eastAsia="Times New Roman" w:cs="Times New Roman"/>
                <w:bCs w:val="0"/>
                <w:color w:val="FFFFFF"/>
                <w:sz w:val="16"/>
                <w:szCs w:val="16"/>
              </w:rPr>
              <w:t>2010</w:t>
            </w:r>
          </w:p>
        </w:tc>
        <w:tc>
          <w:tcPr>
            <w:tcW w:w="581" w:type="dxa"/>
            <w:gridSpan w:val="2"/>
            <w:noWrap/>
            <w:hideMark/>
          </w:tcPr>
          <w:p w14:paraId="3AEAFFFC" w14:textId="77777777" w:rsidR="003A4DC5" w:rsidRPr="00310DD1" w:rsidRDefault="003A4DC5" w:rsidP="003A4DC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6"/>
                <w:szCs w:val="16"/>
              </w:rPr>
            </w:pPr>
            <w:r w:rsidRPr="00310DD1">
              <w:rPr>
                <w:rFonts w:eastAsia="Times New Roman" w:cs="Times New Roman"/>
                <w:bCs w:val="0"/>
                <w:color w:val="FFFFFF"/>
                <w:sz w:val="16"/>
                <w:szCs w:val="16"/>
              </w:rPr>
              <w:t>2011</w:t>
            </w:r>
          </w:p>
        </w:tc>
        <w:tc>
          <w:tcPr>
            <w:tcW w:w="610" w:type="dxa"/>
            <w:gridSpan w:val="2"/>
            <w:noWrap/>
            <w:hideMark/>
          </w:tcPr>
          <w:p w14:paraId="646B4B79" w14:textId="77777777" w:rsidR="003A4DC5" w:rsidRPr="00310DD1" w:rsidRDefault="003A4DC5" w:rsidP="003A4DC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6"/>
                <w:szCs w:val="16"/>
              </w:rPr>
            </w:pPr>
            <w:r w:rsidRPr="00310DD1">
              <w:rPr>
                <w:rFonts w:eastAsia="Times New Roman" w:cs="Times New Roman"/>
                <w:bCs w:val="0"/>
                <w:color w:val="FFFFFF"/>
                <w:sz w:val="16"/>
                <w:szCs w:val="16"/>
              </w:rPr>
              <w:t>2012</w:t>
            </w:r>
          </w:p>
        </w:tc>
        <w:tc>
          <w:tcPr>
            <w:tcW w:w="610" w:type="dxa"/>
            <w:gridSpan w:val="2"/>
            <w:noWrap/>
            <w:hideMark/>
          </w:tcPr>
          <w:p w14:paraId="033B5480" w14:textId="77777777" w:rsidR="003A4DC5" w:rsidRPr="00310DD1" w:rsidRDefault="003A4DC5" w:rsidP="003A4DC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6"/>
                <w:szCs w:val="16"/>
              </w:rPr>
            </w:pPr>
            <w:r w:rsidRPr="00310DD1">
              <w:rPr>
                <w:rFonts w:eastAsia="Times New Roman" w:cs="Times New Roman"/>
                <w:bCs w:val="0"/>
                <w:color w:val="FFFFFF"/>
                <w:sz w:val="16"/>
                <w:szCs w:val="16"/>
              </w:rPr>
              <w:t>2013</w:t>
            </w:r>
          </w:p>
        </w:tc>
        <w:tc>
          <w:tcPr>
            <w:tcW w:w="610" w:type="dxa"/>
            <w:gridSpan w:val="2"/>
            <w:noWrap/>
            <w:hideMark/>
          </w:tcPr>
          <w:p w14:paraId="1625696D" w14:textId="77777777" w:rsidR="003A4DC5" w:rsidRPr="00310DD1" w:rsidRDefault="003A4DC5" w:rsidP="003A4DC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6"/>
                <w:szCs w:val="16"/>
              </w:rPr>
            </w:pPr>
            <w:r w:rsidRPr="00310DD1">
              <w:rPr>
                <w:rFonts w:eastAsia="Times New Roman" w:cs="Times New Roman"/>
                <w:bCs w:val="0"/>
                <w:color w:val="FFFFFF"/>
                <w:sz w:val="16"/>
                <w:szCs w:val="16"/>
              </w:rPr>
              <w:t>2014</w:t>
            </w:r>
          </w:p>
        </w:tc>
        <w:tc>
          <w:tcPr>
            <w:tcW w:w="610" w:type="dxa"/>
            <w:gridSpan w:val="2"/>
            <w:noWrap/>
            <w:hideMark/>
          </w:tcPr>
          <w:p w14:paraId="344A338C" w14:textId="77777777" w:rsidR="003A4DC5" w:rsidRPr="00310DD1" w:rsidRDefault="003A4DC5" w:rsidP="003A4DC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6"/>
                <w:szCs w:val="16"/>
              </w:rPr>
            </w:pPr>
            <w:r w:rsidRPr="00310DD1">
              <w:rPr>
                <w:rFonts w:eastAsia="Times New Roman" w:cs="Times New Roman"/>
                <w:bCs w:val="0"/>
                <w:color w:val="FFFFFF"/>
                <w:sz w:val="16"/>
                <w:szCs w:val="16"/>
              </w:rPr>
              <w:t>2015</w:t>
            </w:r>
          </w:p>
        </w:tc>
        <w:tc>
          <w:tcPr>
            <w:tcW w:w="581" w:type="dxa"/>
            <w:gridSpan w:val="2"/>
            <w:noWrap/>
            <w:hideMark/>
          </w:tcPr>
          <w:p w14:paraId="1DA84E24" w14:textId="77777777" w:rsidR="003A4DC5" w:rsidRPr="00310DD1" w:rsidRDefault="003A4DC5" w:rsidP="003A4DC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6"/>
                <w:szCs w:val="16"/>
              </w:rPr>
            </w:pPr>
            <w:r w:rsidRPr="00310DD1">
              <w:rPr>
                <w:rFonts w:eastAsia="Times New Roman" w:cs="Times New Roman"/>
                <w:bCs w:val="0"/>
                <w:color w:val="FFFFFF"/>
                <w:sz w:val="16"/>
                <w:szCs w:val="16"/>
              </w:rPr>
              <w:t>2016</w:t>
            </w:r>
          </w:p>
        </w:tc>
        <w:tc>
          <w:tcPr>
            <w:tcW w:w="541" w:type="dxa"/>
            <w:noWrap/>
            <w:hideMark/>
          </w:tcPr>
          <w:p w14:paraId="5CCA6B1B" w14:textId="77777777" w:rsidR="003A4DC5" w:rsidRPr="00310DD1" w:rsidRDefault="003A4DC5" w:rsidP="003A4DC5">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6"/>
                <w:szCs w:val="16"/>
              </w:rPr>
            </w:pPr>
            <w:r w:rsidRPr="00310DD1">
              <w:rPr>
                <w:rFonts w:eastAsia="Times New Roman" w:cs="Times New Roman"/>
                <w:bCs w:val="0"/>
                <w:color w:val="FFFFFF"/>
                <w:sz w:val="16"/>
                <w:szCs w:val="16"/>
              </w:rPr>
              <w:t>2017</w:t>
            </w:r>
          </w:p>
        </w:tc>
      </w:tr>
      <w:tr w:rsidR="003A4DC5" w:rsidRPr="00310DD1" w14:paraId="7137D110" w14:textId="77777777" w:rsidTr="00310DD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5AF2966" w14:textId="77777777" w:rsidR="003A4DC5" w:rsidRPr="00310DD1" w:rsidRDefault="003A4DC5" w:rsidP="00A11020">
            <w:pPr>
              <w:spacing w:line="276" w:lineRule="auto"/>
              <w:jc w:val="left"/>
              <w:rPr>
                <w:rFonts w:eastAsia="Times New Roman" w:cs="Times New Roman"/>
                <w:color w:val="000000"/>
                <w:sz w:val="16"/>
                <w:szCs w:val="16"/>
              </w:rPr>
            </w:pPr>
            <w:r w:rsidRPr="00310DD1">
              <w:rPr>
                <w:rFonts w:eastAsia="Times New Roman" w:cs="Times New Roman"/>
                <w:color w:val="000000"/>
                <w:sz w:val="16"/>
                <w:szCs w:val="16"/>
              </w:rPr>
              <w:t>Exchequer Voted Capital (€m)</w:t>
            </w:r>
          </w:p>
        </w:tc>
        <w:tc>
          <w:tcPr>
            <w:tcW w:w="662" w:type="dxa"/>
            <w:gridSpan w:val="2"/>
            <w:noWrap/>
            <w:hideMark/>
          </w:tcPr>
          <w:p w14:paraId="7BD3EB0B"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9,011</w:t>
            </w:r>
          </w:p>
        </w:tc>
        <w:tc>
          <w:tcPr>
            <w:tcW w:w="662" w:type="dxa"/>
            <w:gridSpan w:val="2"/>
            <w:noWrap/>
            <w:hideMark/>
          </w:tcPr>
          <w:p w14:paraId="0BECFFA8"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7,333</w:t>
            </w:r>
          </w:p>
        </w:tc>
        <w:tc>
          <w:tcPr>
            <w:tcW w:w="662" w:type="dxa"/>
            <w:gridSpan w:val="2"/>
            <w:noWrap/>
            <w:hideMark/>
          </w:tcPr>
          <w:p w14:paraId="1E1890D9"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6,385</w:t>
            </w:r>
          </w:p>
        </w:tc>
        <w:tc>
          <w:tcPr>
            <w:tcW w:w="581" w:type="dxa"/>
            <w:gridSpan w:val="2"/>
            <w:noWrap/>
            <w:hideMark/>
          </w:tcPr>
          <w:p w14:paraId="2F798CE1"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4,515</w:t>
            </w:r>
          </w:p>
        </w:tc>
        <w:tc>
          <w:tcPr>
            <w:tcW w:w="610" w:type="dxa"/>
            <w:gridSpan w:val="2"/>
            <w:noWrap/>
            <w:hideMark/>
          </w:tcPr>
          <w:p w14:paraId="651E687B"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3,809</w:t>
            </w:r>
          </w:p>
        </w:tc>
        <w:tc>
          <w:tcPr>
            <w:tcW w:w="610" w:type="dxa"/>
            <w:gridSpan w:val="2"/>
            <w:noWrap/>
            <w:hideMark/>
          </w:tcPr>
          <w:p w14:paraId="5A9B213B"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3,387</w:t>
            </w:r>
          </w:p>
        </w:tc>
        <w:tc>
          <w:tcPr>
            <w:tcW w:w="610" w:type="dxa"/>
            <w:gridSpan w:val="2"/>
            <w:noWrap/>
            <w:hideMark/>
          </w:tcPr>
          <w:p w14:paraId="0C56B984"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3,597</w:t>
            </w:r>
          </w:p>
        </w:tc>
        <w:tc>
          <w:tcPr>
            <w:tcW w:w="610" w:type="dxa"/>
            <w:gridSpan w:val="2"/>
            <w:noWrap/>
            <w:hideMark/>
          </w:tcPr>
          <w:p w14:paraId="7617B1B3"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3,730</w:t>
            </w:r>
          </w:p>
        </w:tc>
        <w:tc>
          <w:tcPr>
            <w:tcW w:w="581" w:type="dxa"/>
            <w:gridSpan w:val="2"/>
            <w:noWrap/>
            <w:hideMark/>
          </w:tcPr>
          <w:p w14:paraId="06091B70"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4,240</w:t>
            </w:r>
          </w:p>
        </w:tc>
        <w:tc>
          <w:tcPr>
            <w:tcW w:w="683" w:type="dxa"/>
            <w:gridSpan w:val="2"/>
            <w:noWrap/>
            <w:hideMark/>
          </w:tcPr>
          <w:p w14:paraId="266E5176"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4,541</w:t>
            </w:r>
          </w:p>
        </w:tc>
      </w:tr>
      <w:tr w:rsidR="003A4DC5" w:rsidRPr="00310DD1" w14:paraId="6151610C" w14:textId="77777777" w:rsidTr="00310DD1">
        <w:trPr>
          <w:trHeight w:val="1"/>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55C51AC" w14:textId="152FED39" w:rsidR="003A4DC5" w:rsidRPr="00310DD1" w:rsidRDefault="003A4DC5" w:rsidP="00310DD1">
            <w:pPr>
              <w:spacing w:line="276" w:lineRule="auto"/>
              <w:jc w:val="left"/>
              <w:rPr>
                <w:rFonts w:eastAsia="Times New Roman" w:cs="Times New Roman"/>
                <w:color w:val="000000"/>
                <w:sz w:val="16"/>
                <w:szCs w:val="16"/>
              </w:rPr>
            </w:pPr>
            <w:r w:rsidRPr="00310DD1">
              <w:rPr>
                <w:rFonts w:eastAsia="Times New Roman" w:cs="Times New Roman"/>
                <w:color w:val="000000"/>
                <w:sz w:val="16"/>
                <w:szCs w:val="16"/>
              </w:rPr>
              <w:t xml:space="preserve">Total </w:t>
            </w:r>
            <w:r w:rsidR="00310DD1">
              <w:rPr>
                <w:rFonts w:eastAsia="Times New Roman" w:cs="Times New Roman"/>
                <w:color w:val="000000"/>
                <w:sz w:val="16"/>
                <w:szCs w:val="16"/>
              </w:rPr>
              <w:t>PCP</w:t>
            </w:r>
            <w:r w:rsidRPr="00310DD1">
              <w:rPr>
                <w:rFonts w:eastAsia="Times New Roman" w:cs="Times New Roman"/>
                <w:color w:val="000000"/>
                <w:sz w:val="16"/>
                <w:szCs w:val="16"/>
              </w:rPr>
              <w:t xml:space="preserve"> (€m)</w:t>
            </w:r>
          </w:p>
        </w:tc>
        <w:tc>
          <w:tcPr>
            <w:tcW w:w="662" w:type="dxa"/>
            <w:gridSpan w:val="2"/>
            <w:noWrap/>
            <w:hideMark/>
          </w:tcPr>
          <w:p w14:paraId="41B5D487" w14:textId="77777777" w:rsidR="003A4DC5" w:rsidRPr="00310DD1"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12,495</w:t>
            </w:r>
          </w:p>
        </w:tc>
        <w:tc>
          <w:tcPr>
            <w:tcW w:w="662" w:type="dxa"/>
            <w:gridSpan w:val="2"/>
            <w:noWrap/>
            <w:hideMark/>
          </w:tcPr>
          <w:p w14:paraId="77A71CDA" w14:textId="77777777" w:rsidR="003A4DC5" w:rsidRPr="00310DD1"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11,849</w:t>
            </w:r>
          </w:p>
        </w:tc>
        <w:tc>
          <w:tcPr>
            <w:tcW w:w="662" w:type="dxa"/>
            <w:gridSpan w:val="2"/>
            <w:noWrap/>
            <w:hideMark/>
          </w:tcPr>
          <w:p w14:paraId="610AC0EB" w14:textId="77777777" w:rsidR="003A4DC5" w:rsidRPr="00310DD1"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10,365</w:t>
            </w:r>
          </w:p>
        </w:tc>
        <w:tc>
          <w:tcPr>
            <w:tcW w:w="581" w:type="dxa"/>
            <w:gridSpan w:val="2"/>
            <w:noWrap/>
            <w:hideMark/>
          </w:tcPr>
          <w:p w14:paraId="7497DC99" w14:textId="77777777" w:rsidR="003A4DC5" w:rsidRPr="00310DD1"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6,963</w:t>
            </w:r>
          </w:p>
        </w:tc>
        <w:tc>
          <w:tcPr>
            <w:tcW w:w="610" w:type="dxa"/>
            <w:gridSpan w:val="2"/>
            <w:noWrap/>
            <w:hideMark/>
          </w:tcPr>
          <w:p w14:paraId="00F6C2A3" w14:textId="77777777" w:rsidR="003A4DC5" w:rsidRPr="00310DD1"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5,699</w:t>
            </w:r>
          </w:p>
        </w:tc>
        <w:tc>
          <w:tcPr>
            <w:tcW w:w="610" w:type="dxa"/>
            <w:gridSpan w:val="2"/>
            <w:noWrap/>
            <w:hideMark/>
          </w:tcPr>
          <w:p w14:paraId="15958DCE" w14:textId="77777777" w:rsidR="003A4DC5" w:rsidRPr="00310DD1"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5,699</w:t>
            </w:r>
          </w:p>
        </w:tc>
        <w:tc>
          <w:tcPr>
            <w:tcW w:w="610" w:type="dxa"/>
            <w:gridSpan w:val="2"/>
            <w:noWrap/>
            <w:hideMark/>
          </w:tcPr>
          <w:p w14:paraId="256DE038" w14:textId="77777777" w:rsidR="003A4DC5" w:rsidRPr="00310DD1"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6,166</w:t>
            </w:r>
          </w:p>
        </w:tc>
        <w:tc>
          <w:tcPr>
            <w:tcW w:w="610" w:type="dxa"/>
            <w:gridSpan w:val="2"/>
            <w:noWrap/>
            <w:hideMark/>
          </w:tcPr>
          <w:p w14:paraId="033F9528" w14:textId="77777777" w:rsidR="003A4DC5" w:rsidRPr="00310DD1"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6,746</w:t>
            </w:r>
          </w:p>
        </w:tc>
        <w:tc>
          <w:tcPr>
            <w:tcW w:w="581" w:type="dxa"/>
            <w:gridSpan w:val="2"/>
            <w:noWrap/>
            <w:hideMark/>
          </w:tcPr>
          <w:p w14:paraId="3949E255" w14:textId="77777777" w:rsidR="003A4DC5" w:rsidRPr="00310DD1"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7,452</w:t>
            </w:r>
          </w:p>
        </w:tc>
        <w:tc>
          <w:tcPr>
            <w:tcW w:w="683" w:type="dxa"/>
            <w:gridSpan w:val="2"/>
            <w:noWrap/>
            <w:hideMark/>
          </w:tcPr>
          <w:p w14:paraId="627C9AF4" w14:textId="77777777" w:rsidR="003A4DC5" w:rsidRPr="00310DD1"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310DD1">
              <w:rPr>
                <w:rFonts w:eastAsia="Times New Roman" w:cs="Times New Roman"/>
                <w:color w:val="000000"/>
                <w:sz w:val="16"/>
                <w:szCs w:val="16"/>
              </w:rPr>
              <w:t>7,636</w:t>
            </w:r>
          </w:p>
        </w:tc>
      </w:tr>
      <w:tr w:rsidR="003A4DC5" w:rsidRPr="00310DD1" w14:paraId="74F43162" w14:textId="77777777" w:rsidTr="00310DD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A050478" w14:textId="20831C95" w:rsidR="003A4DC5" w:rsidRPr="00310DD1" w:rsidRDefault="003A4DC5" w:rsidP="00310DD1">
            <w:pPr>
              <w:spacing w:line="276" w:lineRule="auto"/>
              <w:jc w:val="left"/>
              <w:rPr>
                <w:rFonts w:eastAsia="Times New Roman" w:cs="Times New Roman"/>
                <w:i/>
                <w:iCs/>
                <w:color w:val="000000"/>
                <w:sz w:val="16"/>
                <w:szCs w:val="16"/>
              </w:rPr>
            </w:pPr>
            <w:r w:rsidRPr="00310DD1">
              <w:rPr>
                <w:rFonts w:eastAsia="Times New Roman" w:cs="Times New Roman"/>
                <w:i/>
                <w:iCs/>
                <w:color w:val="000000"/>
                <w:sz w:val="16"/>
                <w:szCs w:val="16"/>
              </w:rPr>
              <w:t xml:space="preserve">Exchequer as % of </w:t>
            </w:r>
            <w:r w:rsidR="00A11020" w:rsidRPr="00310DD1">
              <w:rPr>
                <w:rFonts w:eastAsia="Times New Roman" w:cs="Times New Roman"/>
                <w:i/>
                <w:iCs/>
                <w:color w:val="000000"/>
                <w:sz w:val="16"/>
                <w:szCs w:val="16"/>
              </w:rPr>
              <w:t>PCP</w:t>
            </w:r>
          </w:p>
        </w:tc>
        <w:tc>
          <w:tcPr>
            <w:tcW w:w="662" w:type="dxa"/>
            <w:gridSpan w:val="2"/>
            <w:noWrap/>
            <w:hideMark/>
          </w:tcPr>
          <w:p w14:paraId="7D8933C6"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rFonts w:eastAsia="Times New Roman" w:cs="Times New Roman"/>
                <w:i/>
                <w:iCs/>
                <w:color w:val="000000"/>
                <w:sz w:val="16"/>
                <w:szCs w:val="16"/>
              </w:rPr>
              <w:t>72</w:t>
            </w:r>
          </w:p>
        </w:tc>
        <w:tc>
          <w:tcPr>
            <w:tcW w:w="662" w:type="dxa"/>
            <w:gridSpan w:val="2"/>
            <w:noWrap/>
            <w:hideMark/>
          </w:tcPr>
          <w:p w14:paraId="13943E60"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rFonts w:eastAsia="Times New Roman" w:cs="Times New Roman"/>
                <w:i/>
                <w:iCs/>
                <w:color w:val="000000"/>
                <w:sz w:val="16"/>
                <w:szCs w:val="16"/>
              </w:rPr>
              <w:t>62</w:t>
            </w:r>
          </w:p>
        </w:tc>
        <w:tc>
          <w:tcPr>
            <w:tcW w:w="662" w:type="dxa"/>
            <w:gridSpan w:val="2"/>
            <w:noWrap/>
            <w:hideMark/>
          </w:tcPr>
          <w:p w14:paraId="39299DB3"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rFonts w:eastAsia="Times New Roman" w:cs="Times New Roman"/>
                <w:i/>
                <w:iCs/>
                <w:color w:val="000000"/>
                <w:sz w:val="16"/>
                <w:szCs w:val="16"/>
              </w:rPr>
              <w:t>62</w:t>
            </w:r>
          </w:p>
        </w:tc>
        <w:tc>
          <w:tcPr>
            <w:tcW w:w="581" w:type="dxa"/>
            <w:gridSpan w:val="2"/>
            <w:noWrap/>
            <w:hideMark/>
          </w:tcPr>
          <w:p w14:paraId="0C93B80B"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rFonts w:eastAsia="Times New Roman" w:cs="Times New Roman"/>
                <w:i/>
                <w:iCs/>
                <w:color w:val="000000"/>
                <w:sz w:val="16"/>
                <w:szCs w:val="16"/>
              </w:rPr>
              <w:t>65</w:t>
            </w:r>
          </w:p>
        </w:tc>
        <w:tc>
          <w:tcPr>
            <w:tcW w:w="610" w:type="dxa"/>
            <w:gridSpan w:val="2"/>
            <w:noWrap/>
            <w:hideMark/>
          </w:tcPr>
          <w:p w14:paraId="1A083393"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rFonts w:eastAsia="Times New Roman" w:cs="Times New Roman"/>
                <w:i/>
                <w:iCs/>
                <w:color w:val="000000"/>
                <w:sz w:val="16"/>
                <w:szCs w:val="16"/>
              </w:rPr>
              <w:t>67</w:t>
            </w:r>
          </w:p>
        </w:tc>
        <w:tc>
          <w:tcPr>
            <w:tcW w:w="610" w:type="dxa"/>
            <w:gridSpan w:val="2"/>
            <w:noWrap/>
            <w:hideMark/>
          </w:tcPr>
          <w:p w14:paraId="47AF3D02"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rFonts w:eastAsia="Times New Roman" w:cs="Times New Roman"/>
                <w:i/>
                <w:iCs/>
                <w:color w:val="000000"/>
                <w:sz w:val="16"/>
                <w:szCs w:val="16"/>
              </w:rPr>
              <w:t>59</w:t>
            </w:r>
          </w:p>
        </w:tc>
        <w:tc>
          <w:tcPr>
            <w:tcW w:w="610" w:type="dxa"/>
            <w:gridSpan w:val="2"/>
            <w:noWrap/>
            <w:hideMark/>
          </w:tcPr>
          <w:p w14:paraId="28C44ED1"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rFonts w:eastAsia="Times New Roman" w:cs="Times New Roman"/>
                <w:i/>
                <w:iCs/>
                <w:color w:val="000000"/>
                <w:sz w:val="16"/>
                <w:szCs w:val="16"/>
              </w:rPr>
              <w:t>58</w:t>
            </w:r>
          </w:p>
        </w:tc>
        <w:tc>
          <w:tcPr>
            <w:tcW w:w="610" w:type="dxa"/>
            <w:gridSpan w:val="2"/>
            <w:noWrap/>
            <w:hideMark/>
          </w:tcPr>
          <w:p w14:paraId="0E1080A5"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rFonts w:eastAsia="Times New Roman" w:cs="Times New Roman"/>
                <w:i/>
                <w:iCs/>
                <w:color w:val="000000"/>
                <w:sz w:val="16"/>
                <w:szCs w:val="16"/>
              </w:rPr>
              <w:t>55</w:t>
            </w:r>
          </w:p>
        </w:tc>
        <w:tc>
          <w:tcPr>
            <w:tcW w:w="581" w:type="dxa"/>
            <w:gridSpan w:val="2"/>
            <w:noWrap/>
            <w:hideMark/>
          </w:tcPr>
          <w:p w14:paraId="2A23EFD1"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rFonts w:eastAsia="Times New Roman" w:cs="Times New Roman"/>
                <w:i/>
                <w:iCs/>
                <w:color w:val="000000"/>
                <w:sz w:val="16"/>
                <w:szCs w:val="16"/>
              </w:rPr>
              <w:t>57</w:t>
            </w:r>
          </w:p>
        </w:tc>
        <w:tc>
          <w:tcPr>
            <w:tcW w:w="683" w:type="dxa"/>
            <w:gridSpan w:val="2"/>
            <w:noWrap/>
            <w:hideMark/>
          </w:tcPr>
          <w:p w14:paraId="3FB3EF68" w14:textId="77777777" w:rsidR="003A4DC5" w:rsidRPr="00310DD1"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rFonts w:eastAsia="Times New Roman" w:cs="Times New Roman"/>
                <w:i/>
                <w:iCs/>
                <w:color w:val="000000"/>
                <w:sz w:val="16"/>
                <w:szCs w:val="16"/>
              </w:rPr>
              <w:t>59</w:t>
            </w:r>
          </w:p>
        </w:tc>
      </w:tr>
      <w:tr w:rsidR="00310DD1" w:rsidRPr="00310DD1" w14:paraId="49A16E1E" w14:textId="77777777" w:rsidTr="00310DD1">
        <w:trPr>
          <w:trHeight w:val="1"/>
        </w:trPr>
        <w:tc>
          <w:tcPr>
            <w:cnfStyle w:val="001000000000" w:firstRow="0" w:lastRow="0" w:firstColumn="1" w:lastColumn="0" w:oddVBand="0" w:evenVBand="0" w:oddHBand="0" w:evenHBand="0" w:firstRowFirstColumn="0" w:firstRowLastColumn="0" w:lastRowFirstColumn="0" w:lastRowLastColumn="0"/>
            <w:tcW w:w="1843" w:type="dxa"/>
            <w:noWrap/>
          </w:tcPr>
          <w:p w14:paraId="094C6EF2" w14:textId="73AF589A" w:rsidR="00310DD1" w:rsidRPr="00310DD1" w:rsidRDefault="00310DD1" w:rsidP="00310DD1">
            <w:pPr>
              <w:spacing w:line="276" w:lineRule="auto"/>
              <w:jc w:val="left"/>
              <w:rPr>
                <w:rFonts w:eastAsia="Times New Roman" w:cs="Times New Roman"/>
                <w:i/>
                <w:iCs/>
                <w:color w:val="000000"/>
                <w:sz w:val="16"/>
                <w:szCs w:val="16"/>
              </w:rPr>
            </w:pPr>
            <w:r w:rsidRPr="00310DD1">
              <w:rPr>
                <w:rFonts w:eastAsia="Times New Roman" w:cs="Times New Roman"/>
                <w:i/>
                <w:iCs/>
                <w:color w:val="000000"/>
                <w:sz w:val="16"/>
                <w:szCs w:val="16"/>
              </w:rPr>
              <w:t>Exchequer as % of GNP</w:t>
            </w:r>
          </w:p>
        </w:tc>
        <w:tc>
          <w:tcPr>
            <w:tcW w:w="662" w:type="dxa"/>
            <w:gridSpan w:val="2"/>
            <w:noWrap/>
            <w:vAlign w:val="bottom"/>
          </w:tcPr>
          <w:p w14:paraId="5448EC44" w14:textId="22EA3A96" w:rsidR="00310DD1" w:rsidRPr="00310DD1" w:rsidRDefault="00310DD1" w:rsidP="00310DD1">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5.6</w:t>
            </w:r>
          </w:p>
        </w:tc>
        <w:tc>
          <w:tcPr>
            <w:tcW w:w="662" w:type="dxa"/>
            <w:gridSpan w:val="2"/>
            <w:noWrap/>
            <w:vAlign w:val="bottom"/>
          </w:tcPr>
          <w:p w14:paraId="0C9CC8F1" w14:textId="0ED65939" w:rsidR="00310DD1" w:rsidRPr="00310DD1" w:rsidRDefault="00310DD1" w:rsidP="00310DD1">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5.2</w:t>
            </w:r>
          </w:p>
        </w:tc>
        <w:tc>
          <w:tcPr>
            <w:tcW w:w="662" w:type="dxa"/>
            <w:gridSpan w:val="2"/>
            <w:noWrap/>
            <w:vAlign w:val="bottom"/>
          </w:tcPr>
          <w:p w14:paraId="75D59007" w14:textId="5029932F" w:rsidR="00310DD1" w:rsidRPr="00310DD1" w:rsidRDefault="00310DD1" w:rsidP="00310DD1">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4.6</w:t>
            </w:r>
          </w:p>
        </w:tc>
        <w:tc>
          <w:tcPr>
            <w:tcW w:w="581" w:type="dxa"/>
            <w:gridSpan w:val="2"/>
            <w:noWrap/>
            <w:vAlign w:val="bottom"/>
          </w:tcPr>
          <w:p w14:paraId="1D034B84" w14:textId="660043BE" w:rsidR="00310DD1" w:rsidRPr="00310DD1" w:rsidRDefault="00310DD1" w:rsidP="00310DD1">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3.2</w:t>
            </w:r>
          </w:p>
        </w:tc>
        <w:tc>
          <w:tcPr>
            <w:tcW w:w="610" w:type="dxa"/>
            <w:gridSpan w:val="2"/>
            <w:noWrap/>
            <w:vAlign w:val="bottom"/>
          </w:tcPr>
          <w:p w14:paraId="2274BAE1" w14:textId="3333CFC7" w:rsidR="00310DD1" w:rsidRPr="00310DD1" w:rsidRDefault="00310DD1" w:rsidP="00310DD1">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2.7</w:t>
            </w:r>
          </w:p>
        </w:tc>
        <w:tc>
          <w:tcPr>
            <w:tcW w:w="610" w:type="dxa"/>
            <w:gridSpan w:val="2"/>
            <w:noWrap/>
            <w:vAlign w:val="bottom"/>
          </w:tcPr>
          <w:p w14:paraId="73321EDB" w14:textId="65B6D384" w:rsidR="00310DD1" w:rsidRPr="00310DD1" w:rsidRDefault="00310DD1" w:rsidP="00310DD1">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2.2</w:t>
            </w:r>
          </w:p>
        </w:tc>
        <w:tc>
          <w:tcPr>
            <w:tcW w:w="610" w:type="dxa"/>
            <w:gridSpan w:val="2"/>
            <w:noWrap/>
            <w:vAlign w:val="bottom"/>
          </w:tcPr>
          <w:p w14:paraId="64D69E95" w14:textId="31DD6112" w:rsidR="00310DD1" w:rsidRPr="00310DD1" w:rsidRDefault="00310DD1" w:rsidP="00310DD1">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2.2</w:t>
            </w:r>
          </w:p>
        </w:tc>
        <w:tc>
          <w:tcPr>
            <w:tcW w:w="610" w:type="dxa"/>
            <w:gridSpan w:val="2"/>
            <w:noWrap/>
            <w:vAlign w:val="bottom"/>
          </w:tcPr>
          <w:p w14:paraId="188EB10B" w14:textId="14E1BB85" w:rsidR="00310DD1" w:rsidRPr="00310DD1" w:rsidRDefault="00310DD1" w:rsidP="00310DD1">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1.8</w:t>
            </w:r>
          </w:p>
        </w:tc>
        <w:tc>
          <w:tcPr>
            <w:tcW w:w="581" w:type="dxa"/>
            <w:gridSpan w:val="2"/>
            <w:noWrap/>
            <w:vAlign w:val="bottom"/>
          </w:tcPr>
          <w:p w14:paraId="352AB097" w14:textId="32E397D6" w:rsidR="00310DD1" w:rsidRPr="00310DD1" w:rsidRDefault="00310DD1" w:rsidP="00310DD1">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1.9</w:t>
            </w:r>
          </w:p>
        </w:tc>
        <w:tc>
          <w:tcPr>
            <w:tcW w:w="683" w:type="dxa"/>
            <w:gridSpan w:val="2"/>
            <w:noWrap/>
            <w:vAlign w:val="bottom"/>
          </w:tcPr>
          <w:p w14:paraId="41C5502C" w14:textId="6044C142" w:rsidR="00310DD1" w:rsidRPr="00310DD1" w:rsidRDefault="00310DD1" w:rsidP="00310DD1">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2.0</w:t>
            </w:r>
          </w:p>
        </w:tc>
      </w:tr>
      <w:tr w:rsidR="00310DD1" w:rsidRPr="00310DD1" w14:paraId="01069B17" w14:textId="77777777" w:rsidTr="00310DD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843" w:type="dxa"/>
            <w:noWrap/>
          </w:tcPr>
          <w:p w14:paraId="4F0BE9A4" w14:textId="28E713F1" w:rsidR="00310DD1" w:rsidRPr="00310DD1" w:rsidRDefault="00310DD1" w:rsidP="00310DD1">
            <w:pPr>
              <w:spacing w:line="276" w:lineRule="auto"/>
              <w:jc w:val="left"/>
              <w:rPr>
                <w:rFonts w:eastAsia="Times New Roman" w:cs="Times New Roman"/>
                <w:i/>
                <w:iCs/>
                <w:color w:val="000000"/>
                <w:sz w:val="16"/>
                <w:szCs w:val="16"/>
              </w:rPr>
            </w:pPr>
            <w:r w:rsidRPr="00310DD1">
              <w:rPr>
                <w:rFonts w:eastAsia="Times New Roman" w:cs="Times New Roman"/>
                <w:i/>
                <w:iCs/>
                <w:color w:val="000000"/>
                <w:sz w:val="16"/>
                <w:szCs w:val="16"/>
              </w:rPr>
              <w:t>PCP as % of GNP</w:t>
            </w:r>
          </w:p>
        </w:tc>
        <w:tc>
          <w:tcPr>
            <w:tcW w:w="662" w:type="dxa"/>
            <w:gridSpan w:val="2"/>
            <w:noWrap/>
            <w:vAlign w:val="bottom"/>
          </w:tcPr>
          <w:p w14:paraId="170F11E5" w14:textId="48B6FCFC" w:rsidR="00310DD1" w:rsidRPr="00310DD1" w:rsidRDefault="00310DD1" w:rsidP="00310DD1">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7.8</w:t>
            </w:r>
          </w:p>
        </w:tc>
        <w:tc>
          <w:tcPr>
            <w:tcW w:w="662" w:type="dxa"/>
            <w:gridSpan w:val="2"/>
            <w:noWrap/>
            <w:vAlign w:val="bottom"/>
          </w:tcPr>
          <w:p w14:paraId="382E4573" w14:textId="2F141AA0" w:rsidR="00310DD1" w:rsidRPr="00310DD1" w:rsidRDefault="00310DD1" w:rsidP="00310DD1">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8.4</w:t>
            </w:r>
          </w:p>
        </w:tc>
        <w:tc>
          <w:tcPr>
            <w:tcW w:w="662" w:type="dxa"/>
            <w:gridSpan w:val="2"/>
            <w:noWrap/>
            <w:vAlign w:val="bottom"/>
          </w:tcPr>
          <w:p w14:paraId="622B1CA6" w14:textId="314E461D" w:rsidR="00310DD1" w:rsidRPr="00310DD1" w:rsidRDefault="00310DD1" w:rsidP="00310DD1">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7.5</w:t>
            </w:r>
          </w:p>
        </w:tc>
        <w:tc>
          <w:tcPr>
            <w:tcW w:w="581" w:type="dxa"/>
            <w:gridSpan w:val="2"/>
            <w:noWrap/>
            <w:vAlign w:val="bottom"/>
          </w:tcPr>
          <w:p w14:paraId="2AF6FE46" w14:textId="22E4A625" w:rsidR="00310DD1" w:rsidRPr="00310DD1" w:rsidRDefault="00310DD1" w:rsidP="00310DD1">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5.0</w:t>
            </w:r>
          </w:p>
        </w:tc>
        <w:tc>
          <w:tcPr>
            <w:tcW w:w="610" w:type="dxa"/>
            <w:gridSpan w:val="2"/>
            <w:noWrap/>
            <w:vAlign w:val="bottom"/>
          </w:tcPr>
          <w:p w14:paraId="60858178" w14:textId="38C6AA97" w:rsidR="00310DD1" w:rsidRPr="00310DD1" w:rsidRDefault="00310DD1" w:rsidP="00310DD1">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4.0</w:t>
            </w:r>
          </w:p>
        </w:tc>
        <w:tc>
          <w:tcPr>
            <w:tcW w:w="610" w:type="dxa"/>
            <w:gridSpan w:val="2"/>
            <w:noWrap/>
            <w:vAlign w:val="bottom"/>
          </w:tcPr>
          <w:p w14:paraId="7CC4C1B7" w14:textId="388B31D5" w:rsidR="00310DD1" w:rsidRPr="00310DD1" w:rsidRDefault="00310DD1" w:rsidP="00310DD1">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3.8</w:t>
            </w:r>
          </w:p>
        </w:tc>
        <w:tc>
          <w:tcPr>
            <w:tcW w:w="610" w:type="dxa"/>
            <w:gridSpan w:val="2"/>
            <w:noWrap/>
            <w:vAlign w:val="bottom"/>
          </w:tcPr>
          <w:p w14:paraId="2348839E" w14:textId="4F037D16" w:rsidR="00310DD1" w:rsidRPr="00310DD1" w:rsidRDefault="00310DD1" w:rsidP="00310DD1">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3.8</w:t>
            </w:r>
          </w:p>
        </w:tc>
        <w:tc>
          <w:tcPr>
            <w:tcW w:w="610" w:type="dxa"/>
            <w:gridSpan w:val="2"/>
            <w:noWrap/>
            <w:vAlign w:val="bottom"/>
          </w:tcPr>
          <w:p w14:paraId="2FEDFADF" w14:textId="53E2A47C" w:rsidR="00310DD1" w:rsidRPr="00310DD1" w:rsidRDefault="00310DD1" w:rsidP="00310DD1">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3.3</w:t>
            </w:r>
          </w:p>
        </w:tc>
        <w:tc>
          <w:tcPr>
            <w:tcW w:w="581" w:type="dxa"/>
            <w:gridSpan w:val="2"/>
            <w:noWrap/>
            <w:vAlign w:val="bottom"/>
          </w:tcPr>
          <w:p w14:paraId="57BE18DF" w14:textId="38CD0DAD" w:rsidR="00310DD1" w:rsidRPr="00310DD1" w:rsidRDefault="00310DD1" w:rsidP="00310DD1">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3.4</w:t>
            </w:r>
          </w:p>
        </w:tc>
        <w:tc>
          <w:tcPr>
            <w:tcW w:w="683" w:type="dxa"/>
            <w:gridSpan w:val="2"/>
            <w:noWrap/>
            <w:vAlign w:val="bottom"/>
          </w:tcPr>
          <w:p w14:paraId="32CD1760" w14:textId="3C4D83DB" w:rsidR="00310DD1" w:rsidRPr="00310DD1" w:rsidRDefault="00310DD1" w:rsidP="00791AB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rPr>
            </w:pPr>
            <w:r w:rsidRPr="00310DD1">
              <w:rPr>
                <w:color w:val="000000"/>
                <w:sz w:val="16"/>
                <w:szCs w:val="16"/>
              </w:rPr>
              <w:t>3.</w:t>
            </w:r>
            <w:r w:rsidR="00791ABC">
              <w:rPr>
                <w:color w:val="000000"/>
                <w:sz w:val="16"/>
                <w:szCs w:val="16"/>
              </w:rPr>
              <w:t>3</w:t>
            </w:r>
          </w:p>
        </w:tc>
      </w:tr>
    </w:tbl>
    <w:p w14:paraId="57177D2D" w14:textId="1910DF1E" w:rsidR="003A4DC5" w:rsidRPr="00F01D7F" w:rsidRDefault="003A4DC5" w:rsidP="00310DD1">
      <w:pPr>
        <w:pStyle w:val="DKMBodyText"/>
        <w:spacing w:line="240" w:lineRule="auto"/>
        <w:rPr>
          <w:rFonts w:asciiTheme="minorHAnsi" w:hAnsiTheme="minorHAnsi"/>
          <w:sz w:val="18"/>
          <w:szCs w:val="18"/>
        </w:rPr>
      </w:pPr>
      <w:r w:rsidRPr="00F01D7F">
        <w:rPr>
          <w:rFonts w:asciiTheme="minorHAnsi" w:hAnsiTheme="minorHAnsi" w:cs="HelveticaNeue-Light"/>
          <w:sz w:val="18"/>
          <w:szCs w:val="18"/>
        </w:rPr>
        <w:t xml:space="preserve">Source: Revised Estimates </w:t>
      </w:r>
      <w:r w:rsidR="00204D97" w:rsidRPr="00F01D7F">
        <w:rPr>
          <w:rFonts w:asciiTheme="minorHAnsi" w:hAnsiTheme="minorHAnsi" w:cs="HelveticaNeue-Light"/>
          <w:sz w:val="18"/>
          <w:szCs w:val="18"/>
        </w:rPr>
        <w:t xml:space="preserve">for Public Services </w:t>
      </w:r>
      <w:r w:rsidRPr="00F01D7F">
        <w:rPr>
          <w:rFonts w:asciiTheme="minorHAnsi" w:hAnsiTheme="minorHAnsi" w:cs="HelveticaNeue-Light"/>
          <w:sz w:val="18"/>
          <w:szCs w:val="18"/>
        </w:rPr>
        <w:t>2017</w:t>
      </w:r>
      <w:r w:rsidR="00204D97" w:rsidRPr="00F01D7F">
        <w:rPr>
          <w:rFonts w:asciiTheme="minorHAnsi" w:hAnsiTheme="minorHAnsi" w:cs="HelveticaNeue-Light"/>
          <w:sz w:val="18"/>
          <w:szCs w:val="18"/>
        </w:rPr>
        <w:t>.</w:t>
      </w:r>
      <w:r w:rsidR="00310DD1" w:rsidRPr="00F01D7F">
        <w:rPr>
          <w:rFonts w:asciiTheme="minorHAnsi" w:hAnsiTheme="minorHAnsi" w:cs="HelveticaNeue-Light"/>
          <w:sz w:val="18"/>
          <w:szCs w:val="18"/>
        </w:rPr>
        <w:t xml:space="preserve"> </w:t>
      </w:r>
      <w:r w:rsidR="00310DD1" w:rsidRPr="00F01D7F">
        <w:rPr>
          <w:rFonts w:asciiTheme="minorHAnsi" w:hAnsiTheme="minorHAnsi" w:cs="Segoe UI"/>
          <w:sz w:val="18"/>
          <w:szCs w:val="18"/>
          <w:shd w:val="clear" w:color="auto" w:fill="FFFFFF"/>
        </w:rPr>
        <w:t>Department of Public Expenditure &amp; Reform – Databank &amp; CSO. PCP = Public Capital Programme.</w:t>
      </w:r>
    </w:p>
    <w:p w14:paraId="3B2A1BDD" w14:textId="77777777" w:rsidR="003A4DC5" w:rsidRPr="00B7743F" w:rsidRDefault="003A4DC5" w:rsidP="003A4DC5">
      <w:pPr>
        <w:pStyle w:val="DKMBodyText"/>
        <w:spacing w:line="276" w:lineRule="auto"/>
        <w:rPr>
          <w:rFonts w:asciiTheme="minorHAnsi" w:hAnsiTheme="minorHAnsi"/>
          <w:sz w:val="20"/>
          <w:szCs w:val="20"/>
        </w:rPr>
      </w:pPr>
    </w:p>
    <w:p w14:paraId="5F1050AC" w14:textId="75260083" w:rsidR="003B0EFC" w:rsidRPr="00B7743F" w:rsidRDefault="003B0EFC" w:rsidP="003B0EFC">
      <w:pPr>
        <w:rPr>
          <w:rFonts w:cs="Arial"/>
          <w:sz w:val="20"/>
          <w:szCs w:val="20"/>
        </w:rPr>
      </w:pPr>
      <w:r w:rsidRPr="00B7743F">
        <w:rPr>
          <w:rFonts w:cs="Arial"/>
          <w:sz w:val="20"/>
          <w:szCs w:val="20"/>
        </w:rPr>
        <w:t xml:space="preserve">The total Exchequer capital provision represented </w:t>
      </w:r>
      <w:r w:rsidR="00310DD1" w:rsidRPr="00B7743F">
        <w:rPr>
          <w:rFonts w:cs="Arial"/>
          <w:sz w:val="20"/>
          <w:szCs w:val="20"/>
        </w:rPr>
        <w:t>1.8</w:t>
      </w:r>
      <w:r w:rsidRPr="00B7743F">
        <w:rPr>
          <w:rFonts w:cs="Arial"/>
          <w:sz w:val="20"/>
          <w:szCs w:val="20"/>
        </w:rPr>
        <w:t xml:space="preserve"> per cent of GNP in 201</w:t>
      </w:r>
      <w:r w:rsidR="00C97159" w:rsidRPr="00B7743F">
        <w:rPr>
          <w:rFonts w:cs="Arial"/>
          <w:sz w:val="20"/>
          <w:szCs w:val="20"/>
        </w:rPr>
        <w:t>5</w:t>
      </w:r>
      <w:r w:rsidRPr="00B7743F">
        <w:rPr>
          <w:rFonts w:cs="Arial"/>
          <w:sz w:val="20"/>
          <w:szCs w:val="20"/>
        </w:rPr>
        <w:t xml:space="preserve"> and 1.</w:t>
      </w:r>
      <w:r w:rsidR="00310DD1" w:rsidRPr="00B7743F">
        <w:rPr>
          <w:rFonts w:cs="Arial"/>
          <w:sz w:val="20"/>
          <w:szCs w:val="20"/>
        </w:rPr>
        <w:t>9</w:t>
      </w:r>
      <w:r w:rsidRPr="00B7743F">
        <w:rPr>
          <w:rFonts w:cs="Arial"/>
          <w:sz w:val="20"/>
          <w:szCs w:val="20"/>
        </w:rPr>
        <w:t xml:space="preserve"> per cent in 2016, compared with 5.6 per cent in 2008. </w:t>
      </w:r>
      <w:r w:rsidR="00F85235" w:rsidRPr="00B7743F">
        <w:rPr>
          <w:rFonts w:cs="Arial"/>
          <w:sz w:val="20"/>
          <w:szCs w:val="20"/>
        </w:rPr>
        <w:t xml:space="preserve"> In terms of the larger PCP, it accounted for 8.4 per cent of GNP at the peak and fell to 3.3 per cent</w:t>
      </w:r>
      <w:r w:rsidR="00C97159" w:rsidRPr="00B7743F">
        <w:rPr>
          <w:rFonts w:cs="Arial"/>
          <w:sz w:val="20"/>
          <w:szCs w:val="20"/>
        </w:rPr>
        <w:t>, where it has remained since 2015.</w:t>
      </w:r>
      <w:r w:rsidR="00F85235" w:rsidRPr="00B7743F">
        <w:rPr>
          <w:rFonts w:cs="Arial"/>
          <w:sz w:val="20"/>
          <w:szCs w:val="20"/>
        </w:rPr>
        <w:t xml:space="preserve"> </w:t>
      </w:r>
    </w:p>
    <w:p w14:paraId="518481F3" w14:textId="77777777" w:rsidR="003B0EFC" w:rsidRPr="00B7743F" w:rsidRDefault="003B0EFC" w:rsidP="003A4DC5">
      <w:pPr>
        <w:spacing w:line="276" w:lineRule="auto"/>
        <w:rPr>
          <w:rFonts w:cs="HelveticaNeue-Light"/>
          <w:sz w:val="20"/>
          <w:szCs w:val="20"/>
        </w:rPr>
      </w:pPr>
    </w:p>
    <w:p w14:paraId="5085A427" w14:textId="77777777" w:rsidR="00C80A73" w:rsidRDefault="003A4DC5" w:rsidP="003A4DC5">
      <w:pPr>
        <w:spacing w:line="276" w:lineRule="auto"/>
        <w:rPr>
          <w:sz w:val="20"/>
          <w:szCs w:val="20"/>
        </w:rPr>
      </w:pPr>
      <w:r w:rsidRPr="00B7743F">
        <w:rPr>
          <w:rFonts w:cs="HelveticaNeue-Light"/>
          <w:sz w:val="20"/>
          <w:szCs w:val="20"/>
        </w:rPr>
        <w:t xml:space="preserve">Figure </w:t>
      </w:r>
      <w:r w:rsidR="007E0916">
        <w:rPr>
          <w:rFonts w:cs="HelveticaNeue-Light"/>
          <w:sz w:val="20"/>
          <w:szCs w:val="20"/>
        </w:rPr>
        <w:t>3.1</w:t>
      </w:r>
      <w:r w:rsidRPr="00B7743F">
        <w:rPr>
          <w:rFonts w:cs="HelveticaNeue-Light"/>
          <w:sz w:val="20"/>
          <w:szCs w:val="20"/>
        </w:rPr>
        <w:t xml:space="preserve"> below shows </w:t>
      </w:r>
      <w:r w:rsidR="00C80A73">
        <w:rPr>
          <w:rFonts w:cs="HelveticaNeue-Light"/>
          <w:sz w:val="20"/>
          <w:szCs w:val="20"/>
        </w:rPr>
        <w:t xml:space="preserve">the </w:t>
      </w:r>
      <w:r w:rsidRPr="00B7743F">
        <w:rPr>
          <w:rFonts w:cs="HelveticaNeue-Light"/>
          <w:sz w:val="20"/>
          <w:szCs w:val="20"/>
        </w:rPr>
        <w:t xml:space="preserve">total </w:t>
      </w:r>
      <w:r w:rsidR="00C80A73" w:rsidRPr="00C85FF1">
        <w:rPr>
          <w:rFonts w:cs="HelveticaNeue-Light"/>
          <w:sz w:val="20"/>
          <w:szCs w:val="20"/>
        </w:rPr>
        <w:t xml:space="preserve">public </w:t>
      </w:r>
      <w:r w:rsidR="008311B7" w:rsidRPr="00C85FF1">
        <w:rPr>
          <w:rFonts w:cs="HelveticaNeue-Light"/>
          <w:sz w:val="20"/>
          <w:szCs w:val="20"/>
        </w:rPr>
        <w:t>capital investment</w:t>
      </w:r>
      <w:r w:rsidRPr="00C85FF1">
        <w:rPr>
          <w:rFonts w:cs="HelveticaNeue-Light"/>
          <w:sz w:val="20"/>
          <w:szCs w:val="20"/>
        </w:rPr>
        <w:t xml:space="preserve"> </w:t>
      </w:r>
      <w:r w:rsidRPr="00B7743F">
        <w:rPr>
          <w:rFonts w:cs="HelveticaNeue-Light"/>
          <w:sz w:val="20"/>
          <w:szCs w:val="20"/>
        </w:rPr>
        <w:t>on a sectoral basis</w:t>
      </w:r>
      <w:r w:rsidR="00C64176" w:rsidRPr="00B7743F">
        <w:rPr>
          <w:rFonts w:cs="HelveticaNeue-Light"/>
          <w:sz w:val="20"/>
          <w:szCs w:val="20"/>
        </w:rPr>
        <w:t xml:space="preserve"> as a percentage of GNP</w:t>
      </w:r>
      <w:r w:rsidRPr="00B7743F">
        <w:rPr>
          <w:rFonts w:cs="HelveticaNeue-Light"/>
          <w:sz w:val="20"/>
          <w:szCs w:val="20"/>
        </w:rPr>
        <w:t xml:space="preserve"> since 2008. Whilst the recession led to a contraction in the total quantum of investment made in all sectors, since the recovery the pickup in investment has been mainly in the area of social infrastructure. </w:t>
      </w:r>
      <w:r w:rsidR="00C80A73">
        <w:rPr>
          <w:rFonts w:cs="HelveticaNeue-Light"/>
          <w:sz w:val="20"/>
          <w:szCs w:val="20"/>
        </w:rPr>
        <w:t xml:space="preserve">Since 2008, </w:t>
      </w:r>
      <w:r w:rsidRPr="00B7743F">
        <w:rPr>
          <w:sz w:val="20"/>
          <w:szCs w:val="20"/>
        </w:rPr>
        <w:t xml:space="preserve">total capital </w:t>
      </w:r>
      <w:r w:rsidR="00C80A73">
        <w:rPr>
          <w:sz w:val="20"/>
          <w:szCs w:val="20"/>
        </w:rPr>
        <w:t xml:space="preserve">investment </w:t>
      </w:r>
      <w:r w:rsidRPr="00B7743F">
        <w:rPr>
          <w:sz w:val="20"/>
          <w:szCs w:val="20"/>
        </w:rPr>
        <w:t xml:space="preserve">was at its lowest </w:t>
      </w:r>
      <w:r w:rsidR="00C80A73">
        <w:rPr>
          <w:sz w:val="20"/>
          <w:szCs w:val="20"/>
        </w:rPr>
        <w:t>in 2012 and 2013. Since 2013</w:t>
      </w:r>
      <w:r w:rsidRPr="00B7743F">
        <w:rPr>
          <w:sz w:val="20"/>
          <w:szCs w:val="20"/>
        </w:rPr>
        <w:t xml:space="preserve">, </w:t>
      </w:r>
      <w:r w:rsidR="00C64176" w:rsidRPr="00B7743F">
        <w:rPr>
          <w:sz w:val="20"/>
          <w:szCs w:val="20"/>
        </w:rPr>
        <w:t xml:space="preserve">the level of </w:t>
      </w:r>
      <w:r w:rsidRPr="00B7743F">
        <w:rPr>
          <w:sz w:val="20"/>
          <w:szCs w:val="20"/>
        </w:rPr>
        <w:t xml:space="preserve">investment in social infrastructure </w:t>
      </w:r>
      <w:r w:rsidR="00C80A73">
        <w:rPr>
          <w:sz w:val="20"/>
          <w:szCs w:val="20"/>
        </w:rPr>
        <w:t xml:space="preserve">has increased strongly </w:t>
      </w:r>
      <w:r w:rsidRPr="00B7743F">
        <w:rPr>
          <w:sz w:val="20"/>
          <w:szCs w:val="20"/>
        </w:rPr>
        <w:t>(</w:t>
      </w:r>
      <w:r w:rsidR="00C64176" w:rsidRPr="00B7743F">
        <w:rPr>
          <w:sz w:val="20"/>
          <w:szCs w:val="20"/>
        </w:rPr>
        <w:t>+</w:t>
      </w:r>
      <w:r w:rsidRPr="00B7743F">
        <w:rPr>
          <w:sz w:val="20"/>
          <w:szCs w:val="20"/>
        </w:rPr>
        <w:t xml:space="preserve">89%) </w:t>
      </w:r>
      <w:r w:rsidR="00C80A73">
        <w:rPr>
          <w:sz w:val="20"/>
          <w:szCs w:val="20"/>
        </w:rPr>
        <w:t xml:space="preserve">and </w:t>
      </w:r>
      <w:r w:rsidRPr="00B7743F">
        <w:rPr>
          <w:sz w:val="20"/>
          <w:szCs w:val="20"/>
        </w:rPr>
        <w:t xml:space="preserve">has been much larger than the </w:t>
      </w:r>
      <w:r w:rsidR="00C64176" w:rsidRPr="00B7743F">
        <w:rPr>
          <w:sz w:val="20"/>
          <w:szCs w:val="20"/>
        </w:rPr>
        <w:t xml:space="preserve">corresponding </w:t>
      </w:r>
      <w:r w:rsidRPr="00B7743F">
        <w:rPr>
          <w:sz w:val="20"/>
          <w:szCs w:val="20"/>
        </w:rPr>
        <w:t>increase in investment in productive infrastructure (</w:t>
      </w:r>
      <w:r w:rsidR="00C64176" w:rsidRPr="00B7743F">
        <w:rPr>
          <w:sz w:val="20"/>
          <w:szCs w:val="20"/>
        </w:rPr>
        <w:t>+</w:t>
      </w:r>
      <w:r w:rsidRPr="00B7743F">
        <w:rPr>
          <w:sz w:val="20"/>
          <w:szCs w:val="20"/>
        </w:rPr>
        <w:t>9%).</w:t>
      </w:r>
      <w:r w:rsidR="00C64176" w:rsidRPr="00B7743F">
        <w:rPr>
          <w:sz w:val="20"/>
          <w:szCs w:val="20"/>
        </w:rPr>
        <w:t xml:space="preserve"> </w:t>
      </w:r>
    </w:p>
    <w:p w14:paraId="794AC99B" w14:textId="77777777" w:rsidR="00C80A73" w:rsidRDefault="00C80A73" w:rsidP="003A4DC5">
      <w:pPr>
        <w:spacing w:line="276" w:lineRule="auto"/>
        <w:rPr>
          <w:sz w:val="20"/>
          <w:szCs w:val="20"/>
        </w:rPr>
      </w:pPr>
    </w:p>
    <w:p w14:paraId="67917E54" w14:textId="77777777" w:rsidR="008E47D7" w:rsidRDefault="00C64176" w:rsidP="003A4DC5">
      <w:pPr>
        <w:spacing w:line="276" w:lineRule="auto"/>
        <w:rPr>
          <w:b/>
        </w:rPr>
      </w:pPr>
      <w:r w:rsidRPr="00B7743F">
        <w:rPr>
          <w:sz w:val="20"/>
          <w:szCs w:val="20"/>
        </w:rPr>
        <w:t>In GNP terms, social infrastructure investment increased from 1.1 per cent of GNP in 2013 to an estimated 1.4 per cent in 2017</w:t>
      </w:r>
      <w:r w:rsidR="00F85235" w:rsidRPr="00B7743F">
        <w:rPr>
          <w:sz w:val="20"/>
          <w:szCs w:val="20"/>
        </w:rPr>
        <w:t>, but is well down from almost 3 per cent of GNP at the peak</w:t>
      </w:r>
      <w:r w:rsidRPr="00B7743F">
        <w:rPr>
          <w:sz w:val="20"/>
          <w:szCs w:val="20"/>
        </w:rPr>
        <w:t>. In contrast investment in productive infrastructure declined to 1.7 per cent of GNP in 2015</w:t>
      </w:r>
      <w:r w:rsidR="00F85235" w:rsidRPr="00B7743F">
        <w:rPr>
          <w:sz w:val="20"/>
          <w:szCs w:val="20"/>
        </w:rPr>
        <w:t xml:space="preserve"> and is estimated to represent 1.6 per cent in 2017, compared with 4.6 per cent at the peak</w:t>
      </w:r>
      <w:r w:rsidR="00F85235" w:rsidRPr="008E47D7">
        <w:rPr>
          <w:sz w:val="20"/>
          <w:szCs w:val="20"/>
        </w:rPr>
        <w:t>.</w:t>
      </w:r>
      <w:r w:rsidR="00C80A73" w:rsidRPr="008E47D7">
        <w:rPr>
          <w:sz w:val="20"/>
          <w:szCs w:val="20"/>
        </w:rPr>
        <w:t xml:space="preserve"> The trend in productive infrastructure investment highlights the acute situation in the civil engineering sector which has consistently been performing poorly relative to other sectors in the industry.  </w:t>
      </w:r>
      <w:r w:rsidR="00C80A73" w:rsidRPr="008E47D7">
        <w:rPr>
          <w:b/>
        </w:rPr>
        <w:t xml:space="preserve">  </w:t>
      </w:r>
    </w:p>
    <w:p w14:paraId="597BB211" w14:textId="53A849D6" w:rsidR="003A4DC5" w:rsidRPr="00C80A73" w:rsidRDefault="00C80A73" w:rsidP="003A4DC5">
      <w:pPr>
        <w:spacing w:line="276" w:lineRule="auto"/>
        <w:rPr>
          <w:b/>
          <w:color w:val="98002E"/>
        </w:rPr>
      </w:pPr>
      <w:r w:rsidRPr="008E47D7">
        <w:rPr>
          <w:b/>
        </w:rPr>
        <w:t xml:space="preserve"> </w:t>
      </w:r>
    </w:p>
    <w:p w14:paraId="796B2CA2" w14:textId="5A166644" w:rsidR="003A4DC5" w:rsidRDefault="005D6F2D" w:rsidP="00DF02F3">
      <w:pPr>
        <w:pStyle w:val="DKMFigure"/>
        <w:keepNext/>
        <w:spacing w:after="0" w:line="276" w:lineRule="auto"/>
      </w:pPr>
      <w:bookmarkStart w:id="30" w:name="_Toc478116713"/>
      <w:r>
        <w:t xml:space="preserve">Public Capital Programme </w:t>
      </w:r>
      <w:r w:rsidR="00C64176">
        <w:t xml:space="preserve">Allocations </w:t>
      </w:r>
      <w:r w:rsidR="003A4DC5" w:rsidRPr="00346DCA">
        <w:t>by Sector</w:t>
      </w:r>
      <w:r w:rsidR="004207C7">
        <w:t xml:space="preserve"> 2008-2017E </w:t>
      </w:r>
      <w:r w:rsidR="003A4DC5" w:rsidRPr="00346DCA">
        <w:rPr>
          <w:rStyle w:val="FootnoteReference"/>
        </w:rPr>
        <w:footnoteReference w:id="48"/>
      </w:r>
      <w:bookmarkEnd w:id="30"/>
      <w:r w:rsidR="003A4DC5" w:rsidRPr="00346DCA">
        <w:t xml:space="preserve"> </w:t>
      </w:r>
    </w:p>
    <w:p w14:paraId="285E25CE" w14:textId="76D438B1" w:rsidR="008766F7" w:rsidRPr="00DF02F3" w:rsidRDefault="008766F7" w:rsidP="00DF02F3">
      <w:pPr>
        <w:pStyle w:val="DKMBodyText"/>
        <w:rPr>
          <w:i/>
        </w:rPr>
      </w:pPr>
      <w:r w:rsidRPr="00DF02F3">
        <w:rPr>
          <w:i/>
        </w:rPr>
        <w:t>Percentages of GNP</w:t>
      </w:r>
    </w:p>
    <w:p w14:paraId="1F9C49BA" w14:textId="425E78DA" w:rsidR="003A4DC5" w:rsidRPr="00346DCA" w:rsidRDefault="004207C7" w:rsidP="003A4DC5">
      <w:pPr>
        <w:autoSpaceDE w:val="0"/>
        <w:autoSpaceDN w:val="0"/>
        <w:adjustRightInd w:val="0"/>
        <w:spacing w:line="276" w:lineRule="auto"/>
        <w:rPr>
          <w:rFonts w:cs="HelveticaNeue-Light"/>
        </w:rPr>
      </w:pPr>
      <w:r w:rsidRPr="004207C7">
        <w:rPr>
          <w:noProof/>
        </w:rPr>
        <w:drawing>
          <wp:inline distT="0" distB="0" distL="0" distR="0" wp14:anchorId="3D4F1791" wp14:editId="69D1C624">
            <wp:extent cx="4678407" cy="25908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88990" cy="2596661"/>
                    </a:xfrm>
                    <a:prstGeom prst="rect">
                      <a:avLst/>
                    </a:prstGeom>
                  </pic:spPr>
                </pic:pic>
              </a:graphicData>
            </a:graphic>
          </wp:inline>
        </w:drawing>
      </w:r>
    </w:p>
    <w:p w14:paraId="49C5163F" w14:textId="6AB0A0E0" w:rsidR="003A4DC5" w:rsidRPr="00346DCA" w:rsidRDefault="003A4DC5" w:rsidP="003A4DC5">
      <w:pPr>
        <w:autoSpaceDE w:val="0"/>
        <w:autoSpaceDN w:val="0"/>
        <w:adjustRightInd w:val="0"/>
        <w:spacing w:line="276" w:lineRule="auto"/>
        <w:rPr>
          <w:rFonts w:cs="HelveticaNeue-Light"/>
          <w:sz w:val="18"/>
        </w:rPr>
      </w:pPr>
      <w:r w:rsidRPr="00346DCA">
        <w:rPr>
          <w:rFonts w:cs="HelveticaNeue-Light"/>
          <w:sz w:val="18"/>
        </w:rPr>
        <w:t xml:space="preserve">Source: Revised Estimates </w:t>
      </w:r>
      <w:r w:rsidR="005D6F2D">
        <w:rPr>
          <w:rFonts w:cs="HelveticaNeue-Light"/>
          <w:sz w:val="18"/>
        </w:rPr>
        <w:t xml:space="preserve">for Public Services </w:t>
      </w:r>
      <w:r w:rsidRPr="00346DCA">
        <w:rPr>
          <w:rFonts w:cs="HelveticaNeue-Light"/>
          <w:sz w:val="18"/>
        </w:rPr>
        <w:t>2017</w:t>
      </w:r>
      <w:r w:rsidR="00BC34A6">
        <w:rPr>
          <w:rFonts w:cs="HelveticaNeue-Light"/>
          <w:sz w:val="18"/>
        </w:rPr>
        <w:t>.</w:t>
      </w:r>
    </w:p>
    <w:p w14:paraId="28F35923" w14:textId="77777777" w:rsidR="003A4DC5" w:rsidRPr="00346DCA" w:rsidRDefault="003A4DC5" w:rsidP="003A4DC5">
      <w:pPr>
        <w:spacing w:line="276" w:lineRule="auto"/>
      </w:pPr>
    </w:p>
    <w:p w14:paraId="1AAF5CEC" w14:textId="33670C52" w:rsidR="003A4DC5" w:rsidRPr="00AB215D" w:rsidRDefault="003A4DC5" w:rsidP="00AB215D">
      <w:pPr>
        <w:rPr>
          <w:sz w:val="20"/>
          <w:szCs w:val="20"/>
        </w:rPr>
      </w:pPr>
      <w:r w:rsidRPr="00AB215D">
        <w:rPr>
          <w:sz w:val="20"/>
          <w:szCs w:val="20"/>
        </w:rPr>
        <w:t xml:space="preserve">In the following section we compare the </w:t>
      </w:r>
      <w:r w:rsidRPr="00AB215D">
        <w:rPr>
          <w:i/>
          <w:sz w:val="20"/>
          <w:szCs w:val="20"/>
        </w:rPr>
        <w:t xml:space="preserve">Capital Plan 2016-2021, </w:t>
      </w:r>
      <w:r w:rsidRPr="00AB215D">
        <w:rPr>
          <w:sz w:val="20"/>
          <w:szCs w:val="20"/>
        </w:rPr>
        <w:t xml:space="preserve">as published in September 2015, with </w:t>
      </w:r>
      <w:r w:rsidRPr="00AB215D">
        <w:rPr>
          <w:i/>
          <w:sz w:val="20"/>
          <w:szCs w:val="20"/>
        </w:rPr>
        <w:t xml:space="preserve">Budget 2017 </w:t>
      </w:r>
      <w:r w:rsidRPr="00AB215D">
        <w:rPr>
          <w:sz w:val="20"/>
          <w:szCs w:val="20"/>
        </w:rPr>
        <w:t xml:space="preserve">(October 2016) and with the </w:t>
      </w:r>
      <w:r w:rsidRPr="00AB215D">
        <w:rPr>
          <w:i/>
          <w:sz w:val="20"/>
          <w:szCs w:val="20"/>
        </w:rPr>
        <w:t xml:space="preserve">Revised Estimates </w:t>
      </w:r>
      <w:r w:rsidR="00204D97">
        <w:rPr>
          <w:i/>
          <w:sz w:val="20"/>
          <w:szCs w:val="20"/>
        </w:rPr>
        <w:t xml:space="preserve">for Public Services </w:t>
      </w:r>
      <w:r w:rsidRPr="00AB215D">
        <w:rPr>
          <w:i/>
          <w:sz w:val="20"/>
          <w:szCs w:val="20"/>
        </w:rPr>
        <w:t>2017,</w:t>
      </w:r>
      <w:r w:rsidRPr="00AB215D">
        <w:rPr>
          <w:sz w:val="20"/>
          <w:szCs w:val="20"/>
        </w:rPr>
        <w:t xml:space="preserve"> (December 2016). This allows us to assess the extent to which changes to planned capital spending have been made since the </w:t>
      </w:r>
      <w:r w:rsidRPr="00AB215D">
        <w:rPr>
          <w:i/>
          <w:sz w:val="20"/>
          <w:szCs w:val="20"/>
        </w:rPr>
        <w:t xml:space="preserve">Capital Plan </w:t>
      </w:r>
      <w:r w:rsidRPr="00AB215D">
        <w:rPr>
          <w:sz w:val="20"/>
          <w:szCs w:val="20"/>
        </w:rPr>
        <w:t>was launched.</w:t>
      </w:r>
      <w:r w:rsidR="008766F7">
        <w:rPr>
          <w:rStyle w:val="FootnoteReference"/>
          <w:sz w:val="20"/>
          <w:szCs w:val="20"/>
        </w:rPr>
        <w:footnoteReference w:id="49"/>
      </w:r>
      <w:r w:rsidRPr="00AB215D">
        <w:rPr>
          <w:sz w:val="20"/>
          <w:szCs w:val="20"/>
        </w:rPr>
        <w:t xml:space="preserve"> </w:t>
      </w:r>
    </w:p>
    <w:p w14:paraId="472D66A4" w14:textId="080A1BB5" w:rsidR="00FD03B0" w:rsidRPr="008766F7" w:rsidRDefault="00FD03B0" w:rsidP="00FD03B0">
      <w:pPr>
        <w:pStyle w:val="DKM2"/>
        <w:rPr>
          <w:sz w:val="22"/>
          <w:szCs w:val="22"/>
        </w:rPr>
      </w:pPr>
      <w:bookmarkStart w:id="31" w:name="_Toc478116694"/>
      <w:r w:rsidRPr="008766F7">
        <w:rPr>
          <w:sz w:val="22"/>
          <w:szCs w:val="22"/>
        </w:rPr>
        <w:t>Public Capital Investment Prospects</w:t>
      </w:r>
      <w:bookmarkEnd w:id="31"/>
    </w:p>
    <w:p w14:paraId="660AE7AF" w14:textId="26A401D9" w:rsidR="00D97110" w:rsidRPr="00F32AFE" w:rsidRDefault="00262638" w:rsidP="00AB215D">
      <w:pPr>
        <w:pStyle w:val="DKMBodyText"/>
        <w:rPr>
          <w:rFonts w:asciiTheme="minorHAnsi" w:hAnsiTheme="minorHAnsi"/>
          <w:b/>
          <w:color w:val="005596"/>
          <w:sz w:val="20"/>
          <w:szCs w:val="20"/>
        </w:rPr>
      </w:pPr>
      <w:r w:rsidRPr="00F32AFE">
        <w:rPr>
          <w:rFonts w:asciiTheme="minorHAnsi" w:hAnsiTheme="minorHAnsi"/>
          <w:b/>
          <w:color w:val="005596"/>
          <w:sz w:val="20"/>
          <w:szCs w:val="20"/>
        </w:rPr>
        <w:t xml:space="preserve">The </w:t>
      </w:r>
      <w:r w:rsidR="00BB2947" w:rsidRPr="00F32AFE">
        <w:rPr>
          <w:rFonts w:asciiTheme="minorHAnsi" w:hAnsiTheme="minorHAnsi"/>
          <w:b/>
          <w:color w:val="005596"/>
          <w:sz w:val="20"/>
          <w:szCs w:val="20"/>
        </w:rPr>
        <w:t>Multi-Annual Capital investment Framework</w:t>
      </w:r>
    </w:p>
    <w:p w14:paraId="634D6680" w14:textId="1AB634B1" w:rsidR="003A4DC5" w:rsidRPr="00AB215D" w:rsidRDefault="003A4DC5" w:rsidP="00AB215D">
      <w:pPr>
        <w:autoSpaceDE w:val="0"/>
        <w:autoSpaceDN w:val="0"/>
        <w:adjustRightInd w:val="0"/>
        <w:rPr>
          <w:sz w:val="20"/>
          <w:szCs w:val="20"/>
        </w:rPr>
      </w:pPr>
      <w:r w:rsidRPr="00AB215D">
        <w:rPr>
          <w:sz w:val="20"/>
          <w:szCs w:val="20"/>
        </w:rPr>
        <w:t xml:space="preserve">The </w:t>
      </w:r>
      <w:r w:rsidRPr="00AB215D">
        <w:rPr>
          <w:i/>
          <w:sz w:val="20"/>
          <w:szCs w:val="20"/>
        </w:rPr>
        <w:t xml:space="preserve">Capital Plan </w:t>
      </w:r>
      <w:r w:rsidRPr="00AB215D">
        <w:rPr>
          <w:sz w:val="20"/>
          <w:szCs w:val="20"/>
        </w:rPr>
        <w:t xml:space="preserve">allocated €27 billion of Exchequer funding to gross voted capital expenditure </w:t>
      </w:r>
      <w:r w:rsidR="00204D97">
        <w:rPr>
          <w:sz w:val="20"/>
          <w:szCs w:val="20"/>
        </w:rPr>
        <w:t>over the period 2016-</w:t>
      </w:r>
      <w:r w:rsidRPr="00AB215D">
        <w:rPr>
          <w:sz w:val="20"/>
          <w:szCs w:val="20"/>
        </w:rPr>
        <w:t>2021</w:t>
      </w:r>
      <w:r w:rsidR="00A23C59">
        <w:rPr>
          <w:sz w:val="20"/>
          <w:szCs w:val="20"/>
        </w:rPr>
        <w:t xml:space="preserve"> </w:t>
      </w:r>
      <w:r w:rsidR="00A23C59" w:rsidRPr="003B0E67">
        <w:rPr>
          <w:rFonts w:cs="Arial"/>
          <w:sz w:val="20"/>
          <w:szCs w:val="20"/>
        </w:rPr>
        <w:t>(€4.5 billion on average per year).</w:t>
      </w:r>
      <w:r w:rsidRPr="00AB215D">
        <w:rPr>
          <w:sz w:val="20"/>
          <w:szCs w:val="20"/>
        </w:rPr>
        <w:t xml:space="preserve"> Of the total Exchequer funding of €27 billion, 29</w:t>
      </w:r>
      <w:r w:rsidR="00204D97">
        <w:rPr>
          <w:sz w:val="20"/>
          <w:szCs w:val="20"/>
        </w:rPr>
        <w:t xml:space="preserve"> per cent</w:t>
      </w:r>
      <w:r w:rsidRPr="00AB215D">
        <w:rPr>
          <w:sz w:val="20"/>
          <w:szCs w:val="20"/>
        </w:rPr>
        <w:t xml:space="preserve"> </w:t>
      </w:r>
      <w:r w:rsidR="00B7743F">
        <w:rPr>
          <w:sz w:val="20"/>
          <w:szCs w:val="20"/>
        </w:rPr>
        <w:t xml:space="preserve">is </w:t>
      </w:r>
      <w:r w:rsidRPr="00AB215D">
        <w:rPr>
          <w:sz w:val="20"/>
          <w:szCs w:val="20"/>
        </w:rPr>
        <w:t>allocated to transport, 13</w:t>
      </w:r>
      <w:r w:rsidR="00204D97">
        <w:rPr>
          <w:sz w:val="20"/>
          <w:szCs w:val="20"/>
        </w:rPr>
        <w:t xml:space="preserve"> per cent</w:t>
      </w:r>
      <w:r w:rsidRPr="00AB215D">
        <w:rPr>
          <w:sz w:val="20"/>
          <w:szCs w:val="20"/>
        </w:rPr>
        <w:t xml:space="preserve"> to housing, 14</w:t>
      </w:r>
      <w:r w:rsidR="00204D97">
        <w:rPr>
          <w:sz w:val="20"/>
          <w:szCs w:val="20"/>
        </w:rPr>
        <w:t xml:space="preserve"> </w:t>
      </w:r>
      <w:r w:rsidR="00B7743F">
        <w:rPr>
          <w:sz w:val="20"/>
          <w:szCs w:val="20"/>
        </w:rPr>
        <w:t xml:space="preserve">per </w:t>
      </w:r>
      <w:r w:rsidR="00204D97">
        <w:rPr>
          <w:sz w:val="20"/>
          <w:szCs w:val="20"/>
        </w:rPr>
        <w:t>cent</w:t>
      </w:r>
      <w:r w:rsidRPr="00AB215D">
        <w:rPr>
          <w:sz w:val="20"/>
          <w:szCs w:val="20"/>
        </w:rPr>
        <w:t xml:space="preserve"> to education, and the remainder to other sectors.</w:t>
      </w:r>
      <w:r w:rsidRPr="00AB215D">
        <w:rPr>
          <w:rStyle w:val="FootnoteReference"/>
          <w:sz w:val="20"/>
          <w:szCs w:val="20"/>
        </w:rPr>
        <w:footnoteReference w:id="50"/>
      </w:r>
      <w:r w:rsidRPr="00AB215D">
        <w:rPr>
          <w:sz w:val="20"/>
          <w:szCs w:val="20"/>
        </w:rPr>
        <w:t xml:space="preserve"> </w:t>
      </w:r>
    </w:p>
    <w:p w14:paraId="2B622494" w14:textId="77777777" w:rsidR="003A4DC5" w:rsidRPr="00AB215D" w:rsidRDefault="003A4DC5" w:rsidP="00AB215D">
      <w:pPr>
        <w:autoSpaceDE w:val="0"/>
        <w:autoSpaceDN w:val="0"/>
        <w:adjustRightInd w:val="0"/>
        <w:rPr>
          <w:sz w:val="20"/>
          <w:szCs w:val="20"/>
        </w:rPr>
      </w:pPr>
    </w:p>
    <w:p w14:paraId="6F2200B4" w14:textId="6D203912" w:rsidR="003A4DC5" w:rsidRPr="00AB215D" w:rsidRDefault="00204D97" w:rsidP="00AB215D">
      <w:pPr>
        <w:autoSpaceDE w:val="0"/>
        <w:autoSpaceDN w:val="0"/>
        <w:adjustRightInd w:val="0"/>
        <w:rPr>
          <w:sz w:val="20"/>
          <w:szCs w:val="20"/>
        </w:rPr>
      </w:pPr>
      <w:r>
        <w:rPr>
          <w:sz w:val="20"/>
          <w:szCs w:val="20"/>
        </w:rPr>
        <w:t xml:space="preserve">There </w:t>
      </w:r>
      <w:r w:rsidR="00B7743F">
        <w:rPr>
          <w:sz w:val="20"/>
          <w:szCs w:val="20"/>
        </w:rPr>
        <w:t>i</w:t>
      </w:r>
      <w:r>
        <w:rPr>
          <w:sz w:val="20"/>
          <w:szCs w:val="20"/>
        </w:rPr>
        <w:t>s</w:t>
      </w:r>
      <w:r w:rsidR="003A4DC5" w:rsidRPr="00AB215D">
        <w:rPr>
          <w:sz w:val="20"/>
          <w:szCs w:val="20"/>
        </w:rPr>
        <w:t xml:space="preserve"> an additional €14.5 billion of non-Exchequer funding allocated </w:t>
      </w:r>
      <w:r>
        <w:rPr>
          <w:sz w:val="20"/>
          <w:szCs w:val="20"/>
        </w:rPr>
        <w:t>to capital investment f</w:t>
      </w:r>
      <w:r w:rsidR="003A4DC5" w:rsidRPr="00AB215D">
        <w:rPr>
          <w:sz w:val="20"/>
          <w:szCs w:val="20"/>
        </w:rPr>
        <w:t xml:space="preserve">rom the </w:t>
      </w:r>
      <w:r>
        <w:rPr>
          <w:sz w:val="20"/>
          <w:szCs w:val="20"/>
        </w:rPr>
        <w:t xml:space="preserve">own </w:t>
      </w:r>
      <w:r w:rsidR="003A4DC5" w:rsidRPr="00AB215D">
        <w:rPr>
          <w:sz w:val="20"/>
          <w:szCs w:val="20"/>
        </w:rPr>
        <w:t xml:space="preserve">resources of semi-state bodies. </w:t>
      </w:r>
      <w:r w:rsidR="003A4DC5" w:rsidRPr="00AB215D">
        <w:rPr>
          <w:color w:val="000000" w:themeColor="text1"/>
          <w:sz w:val="20"/>
          <w:szCs w:val="20"/>
        </w:rPr>
        <w:t>Of this investment, 40</w:t>
      </w:r>
      <w:r>
        <w:rPr>
          <w:color w:val="000000" w:themeColor="text1"/>
          <w:sz w:val="20"/>
          <w:szCs w:val="20"/>
        </w:rPr>
        <w:t xml:space="preserve"> per cent</w:t>
      </w:r>
      <w:r w:rsidR="003A4DC5" w:rsidRPr="00AB215D">
        <w:rPr>
          <w:color w:val="000000" w:themeColor="text1"/>
          <w:sz w:val="20"/>
          <w:szCs w:val="20"/>
        </w:rPr>
        <w:t xml:space="preserve"> </w:t>
      </w:r>
      <w:r w:rsidR="00B7743F">
        <w:rPr>
          <w:color w:val="000000" w:themeColor="text1"/>
          <w:sz w:val="20"/>
          <w:szCs w:val="20"/>
        </w:rPr>
        <w:t>is</w:t>
      </w:r>
      <w:r w:rsidR="003A4DC5" w:rsidRPr="00AB215D">
        <w:rPr>
          <w:color w:val="000000" w:themeColor="text1"/>
          <w:sz w:val="20"/>
          <w:szCs w:val="20"/>
        </w:rPr>
        <w:t xml:space="preserve"> allocated to investment in energy, 27</w:t>
      </w:r>
      <w:r>
        <w:rPr>
          <w:color w:val="000000" w:themeColor="text1"/>
          <w:sz w:val="20"/>
          <w:szCs w:val="20"/>
        </w:rPr>
        <w:t xml:space="preserve"> per cent</w:t>
      </w:r>
      <w:r w:rsidR="003A4DC5" w:rsidRPr="00AB215D">
        <w:rPr>
          <w:color w:val="000000" w:themeColor="text1"/>
          <w:sz w:val="20"/>
          <w:szCs w:val="20"/>
        </w:rPr>
        <w:t xml:space="preserve"> </w:t>
      </w:r>
      <w:r w:rsidR="00B7743F">
        <w:rPr>
          <w:color w:val="000000" w:themeColor="text1"/>
          <w:sz w:val="20"/>
          <w:szCs w:val="20"/>
        </w:rPr>
        <w:t>to</w:t>
      </w:r>
      <w:r w:rsidR="003A4DC5" w:rsidRPr="00AB215D">
        <w:rPr>
          <w:color w:val="000000" w:themeColor="text1"/>
          <w:sz w:val="20"/>
          <w:szCs w:val="20"/>
        </w:rPr>
        <w:t xml:space="preserve"> water services, 5</w:t>
      </w:r>
      <w:r>
        <w:rPr>
          <w:color w:val="000000" w:themeColor="text1"/>
          <w:sz w:val="20"/>
          <w:szCs w:val="20"/>
        </w:rPr>
        <w:t xml:space="preserve"> per cent</w:t>
      </w:r>
      <w:r w:rsidR="003A4DC5" w:rsidRPr="00AB215D">
        <w:rPr>
          <w:color w:val="000000" w:themeColor="text1"/>
          <w:sz w:val="20"/>
          <w:szCs w:val="20"/>
        </w:rPr>
        <w:t xml:space="preserve"> </w:t>
      </w:r>
      <w:r w:rsidR="00B7743F">
        <w:rPr>
          <w:color w:val="000000" w:themeColor="text1"/>
          <w:sz w:val="20"/>
          <w:szCs w:val="20"/>
        </w:rPr>
        <w:t>to</w:t>
      </w:r>
      <w:r w:rsidR="003A4DC5" w:rsidRPr="00AB215D">
        <w:rPr>
          <w:color w:val="000000" w:themeColor="text1"/>
          <w:sz w:val="20"/>
          <w:szCs w:val="20"/>
        </w:rPr>
        <w:t xml:space="preserve"> </w:t>
      </w:r>
      <w:r w:rsidR="003A4DC5" w:rsidRPr="00AB215D">
        <w:rPr>
          <w:sz w:val="20"/>
          <w:szCs w:val="20"/>
        </w:rPr>
        <w:t>transport, and the remainder (28%) to other areas.</w:t>
      </w:r>
      <w:r w:rsidR="003A4DC5" w:rsidRPr="00AB215D">
        <w:rPr>
          <w:rStyle w:val="FootnoteReference"/>
          <w:sz w:val="20"/>
          <w:szCs w:val="20"/>
        </w:rPr>
        <w:footnoteReference w:id="51"/>
      </w:r>
      <w:r w:rsidR="003A4DC5" w:rsidRPr="00AB215D">
        <w:rPr>
          <w:sz w:val="20"/>
          <w:szCs w:val="20"/>
        </w:rPr>
        <w:t xml:space="preserve"> </w:t>
      </w:r>
    </w:p>
    <w:p w14:paraId="0681E96A" w14:textId="77777777" w:rsidR="003A4DC5" w:rsidRPr="00AB215D" w:rsidRDefault="003A4DC5" w:rsidP="00AB215D">
      <w:pPr>
        <w:autoSpaceDE w:val="0"/>
        <w:autoSpaceDN w:val="0"/>
        <w:adjustRightInd w:val="0"/>
        <w:rPr>
          <w:sz w:val="20"/>
          <w:szCs w:val="20"/>
        </w:rPr>
      </w:pPr>
    </w:p>
    <w:p w14:paraId="40E429E6" w14:textId="556FFC90" w:rsidR="003A4DC5" w:rsidRPr="00AB215D" w:rsidRDefault="003A4DC5" w:rsidP="00AB215D">
      <w:pPr>
        <w:autoSpaceDE w:val="0"/>
        <w:autoSpaceDN w:val="0"/>
        <w:adjustRightInd w:val="0"/>
        <w:rPr>
          <w:sz w:val="20"/>
          <w:szCs w:val="20"/>
        </w:rPr>
      </w:pPr>
      <w:r w:rsidRPr="00AB215D">
        <w:rPr>
          <w:sz w:val="20"/>
          <w:szCs w:val="20"/>
        </w:rPr>
        <w:t xml:space="preserve">Since publication of the </w:t>
      </w:r>
      <w:r w:rsidRPr="00AB215D">
        <w:rPr>
          <w:i/>
          <w:sz w:val="20"/>
          <w:szCs w:val="20"/>
        </w:rPr>
        <w:t>Capital Plan</w:t>
      </w:r>
      <w:r w:rsidRPr="00AB215D">
        <w:rPr>
          <w:sz w:val="20"/>
          <w:szCs w:val="20"/>
        </w:rPr>
        <w:t xml:space="preserve"> in September 2015, additional funding has been allocated to capital expenditure via Budget 2017 and the Revised Estimates </w:t>
      </w:r>
      <w:r w:rsidR="00F01D7F">
        <w:rPr>
          <w:sz w:val="20"/>
          <w:szCs w:val="20"/>
        </w:rPr>
        <w:t xml:space="preserve">for Public Services </w:t>
      </w:r>
      <w:r w:rsidRPr="00AB215D">
        <w:rPr>
          <w:sz w:val="20"/>
          <w:szCs w:val="20"/>
        </w:rPr>
        <w:t>2017</w:t>
      </w:r>
      <w:r w:rsidR="00F01D7F">
        <w:rPr>
          <w:sz w:val="20"/>
          <w:szCs w:val="20"/>
        </w:rPr>
        <w:t xml:space="preserve"> (Table 3.2)</w:t>
      </w:r>
      <w:r w:rsidRPr="00AB215D">
        <w:rPr>
          <w:sz w:val="20"/>
          <w:szCs w:val="20"/>
        </w:rPr>
        <w:t xml:space="preserve">. </w:t>
      </w:r>
    </w:p>
    <w:p w14:paraId="0C2844B5" w14:textId="452D2EBF" w:rsidR="003A4DC5" w:rsidRPr="00AB215D" w:rsidRDefault="003A4DC5" w:rsidP="0063437E">
      <w:pPr>
        <w:pStyle w:val="ListParagraph"/>
        <w:numPr>
          <w:ilvl w:val="0"/>
          <w:numId w:val="6"/>
        </w:numPr>
        <w:autoSpaceDE w:val="0"/>
        <w:autoSpaceDN w:val="0"/>
        <w:adjustRightInd w:val="0"/>
        <w:spacing w:after="0" w:line="280" w:lineRule="atLeast"/>
        <w:ind w:left="426"/>
        <w:jc w:val="both"/>
        <w:rPr>
          <w:rFonts w:asciiTheme="minorHAnsi" w:hAnsiTheme="minorHAnsi"/>
          <w:sz w:val="20"/>
          <w:szCs w:val="20"/>
        </w:rPr>
      </w:pPr>
      <w:r w:rsidRPr="00AB215D">
        <w:rPr>
          <w:rFonts w:asciiTheme="minorHAnsi" w:hAnsiTheme="minorHAnsi"/>
          <w:sz w:val="20"/>
          <w:szCs w:val="20"/>
        </w:rPr>
        <w:t xml:space="preserve">Budget 2017 allocated an extra €3.1 billion between 2017 and 2019 and </w:t>
      </w:r>
      <w:r w:rsidR="00F01D7F" w:rsidRPr="00AB215D">
        <w:rPr>
          <w:rFonts w:asciiTheme="minorHAnsi" w:hAnsiTheme="minorHAnsi"/>
          <w:sz w:val="20"/>
          <w:szCs w:val="20"/>
        </w:rPr>
        <w:t>an</w:t>
      </w:r>
      <w:r w:rsidR="00F01D7F">
        <w:rPr>
          <w:rFonts w:asciiTheme="minorHAnsi" w:hAnsiTheme="minorHAnsi"/>
          <w:sz w:val="20"/>
          <w:szCs w:val="20"/>
        </w:rPr>
        <w:t xml:space="preserve"> extra</w:t>
      </w:r>
      <w:r w:rsidR="00F01D7F" w:rsidRPr="00AB215D">
        <w:rPr>
          <w:rFonts w:asciiTheme="minorHAnsi" w:hAnsiTheme="minorHAnsi"/>
          <w:sz w:val="20"/>
          <w:szCs w:val="20"/>
        </w:rPr>
        <w:t xml:space="preserve"> €7 billion </w:t>
      </w:r>
      <w:r w:rsidR="00F01D7F">
        <w:rPr>
          <w:rFonts w:asciiTheme="minorHAnsi" w:hAnsiTheme="minorHAnsi"/>
          <w:sz w:val="20"/>
          <w:szCs w:val="20"/>
        </w:rPr>
        <w:t xml:space="preserve">between </w:t>
      </w:r>
      <w:r w:rsidRPr="00AB215D">
        <w:rPr>
          <w:rFonts w:asciiTheme="minorHAnsi" w:hAnsiTheme="minorHAnsi"/>
          <w:sz w:val="20"/>
          <w:szCs w:val="20"/>
        </w:rPr>
        <w:t>2017 and 2021</w:t>
      </w:r>
      <w:r w:rsidR="00F01D7F">
        <w:rPr>
          <w:rFonts w:asciiTheme="minorHAnsi" w:hAnsiTheme="minorHAnsi"/>
          <w:sz w:val="20"/>
          <w:szCs w:val="20"/>
        </w:rPr>
        <w:t>.</w:t>
      </w:r>
      <w:r w:rsidRPr="00AB215D">
        <w:rPr>
          <w:rStyle w:val="FootnoteReference"/>
          <w:rFonts w:asciiTheme="minorHAnsi" w:hAnsiTheme="minorHAnsi"/>
          <w:sz w:val="20"/>
          <w:szCs w:val="20"/>
        </w:rPr>
        <w:t xml:space="preserve"> </w:t>
      </w:r>
      <w:r w:rsidRPr="00AB215D">
        <w:rPr>
          <w:rStyle w:val="FootnoteReference"/>
          <w:rFonts w:asciiTheme="minorHAnsi" w:hAnsiTheme="minorHAnsi"/>
          <w:sz w:val="20"/>
          <w:szCs w:val="20"/>
        </w:rPr>
        <w:footnoteReference w:id="52"/>
      </w:r>
      <w:r w:rsidRPr="00AB215D">
        <w:rPr>
          <w:rFonts w:asciiTheme="minorHAnsi" w:hAnsiTheme="minorHAnsi"/>
          <w:sz w:val="20"/>
          <w:szCs w:val="20"/>
        </w:rPr>
        <w:t xml:space="preserve"> The additional €7 billion allocated for the period 2017 to 2021, on top of the €27 billion </w:t>
      </w:r>
      <w:r w:rsidR="00F01D7F">
        <w:rPr>
          <w:rFonts w:asciiTheme="minorHAnsi" w:hAnsiTheme="minorHAnsi"/>
          <w:sz w:val="20"/>
          <w:szCs w:val="20"/>
        </w:rPr>
        <w:t>already</w:t>
      </w:r>
      <w:r w:rsidRPr="00AB215D">
        <w:rPr>
          <w:rFonts w:asciiTheme="minorHAnsi" w:hAnsiTheme="minorHAnsi"/>
          <w:sz w:val="20"/>
          <w:szCs w:val="20"/>
        </w:rPr>
        <w:t xml:space="preserve"> allocated in the </w:t>
      </w:r>
      <w:r w:rsidRPr="00AB215D">
        <w:rPr>
          <w:rFonts w:asciiTheme="minorHAnsi" w:hAnsiTheme="minorHAnsi"/>
          <w:i/>
          <w:sz w:val="20"/>
          <w:szCs w:val="20"/>
        </w:rPr>
        <w:t>Capital Plan</w:t>
      </w:r>
      <w:r w:rsidRPr="00AB215D">
        <w:rPr>
          <w:rFonts w:asciiTheme="minorHAnsi" w:hAnsiTheme="minorHAnsi"/>
          <w:sz w:val="20"/>
          <w:szCs w:val="20"/>
        </w:rPr>
        <w:t xml:space="preserve"> means the </w:t>
      </w:r>
      <w:r w:rsidR="00204D97">
        <w:rPr>
          <w:rFonts w:asciiTheme="minorHAnsi" w:hAnsiTheme="minorHAnsi"/>
          <w:sz w:val="20"/>
          <w:szCs w:val="20"/>
        </w:rPr>
        <w:t>E</w:t>
      </w:r>
      <w:r w:rsidRPr="00AB215D">
        <w:rPr>
          <w:rFonts w:asciiTheme="minorHAnsi" w:hAnsiTheme="minorHAnsi"/>
          <w:sz w:val="20"/>
          <w:szCs w:val="20"/>
        </w:rPr>
        <w:t xml:space="preserve">xchequer envelope for this period is </w:t>
      </w:r>
      <w:r w:rsidR="00204D97">
        <w:rPr>
          <w:rFonts w:asciiTheme="minorHAnsi" w:hAnsiTheme="minorHAnsi"/>
          <w:sz w:val="20"/>
          <w:szCs w:val="20"/>
        </w:rPr>
        <w:t xml:space="preserve">now </w:t>
      </w:r>
      <w:r w:rsidR="00F01D7F">
        <w:rPr>
          <w:rFonts w:asciiTheme="minorHAnsi" w:hAnsiTheme="minorHAnsi"/>
          <w:sz w:val="20"/>
          <w:szCs w:val="20"/>
        </w:rPr>
        <w:t xml:space="preserve">increased to </w:t>
      </w:r>
      <w:r w:rsidRPr="00AB215D">
        <w:rPr>
          <w:rFonts w:asciiTheme="minorHAnsi" w:hAnsiTheme="minorHAnsi"/>
          <w:sz w:val="20"/>
          <w:szCs w:val="20"/>
        </w:rPr>
        <w:t xml:space="preserve">€34 billion. </w:t>
      </w:r>
    </w:p>
    <w:p w14:paraId="7FE099A9" w14:textId="01C2AAA3" w:rsidR="003A4DC5" w:rsidRDefault="003A4DC5" w:rsidP="0063437E">
      <w:pPr>
        <w:pStyle w:val="ListParagraph"/>
        <w:numPr>
          <w:ilvl w:val="0"/>
          <w:numId w:val="6"/>
        </w:numPr>
        <w:autoSpaceDE w:val="0"/>
        <w:autoSpaceDN w:val="0"/>
        <w:adjustRightInd w:val="0"/>
        <w:spacing w:after="0" w:line="280" w:lineRule="atLeast"/>
        <w:ind w:left="426"/>
        <w:jc w:val="both"/>
        <w:rPr>
          <w:rFonts w:asciiTheme="minorHAnsi" w:hAnsiTheme="minorHAnsi"/>
          <w:sz w:val="20"/>
          <w:szCs w:val="20"/>
        </w:rPr>
      </w:pPr>
      <w:r w:rsidRPr="00AB215D">
        <w:rPr>
          <w:rFonts w:asciiTheme="minorHAnsi" w:hAnsiTheme="minorHAnsi"/>
          <w:sz w:val="20"/>
          <w:szCs w:val="20"/>
        </w:rPr>
        <w:t>The Revised Estimates</w:t>
      </w:r>
      <w:r w:rsidR="00F01D7F">
        <w:rPr>
          <w:rFonts w:asciiTheme="minorHAnsi" w:hAnsiTheme="minorHAnsi"/>
          <w:sz w:val="20"/>
          <w:szCs w:val="20"/>
        </w:rPr>
        <w:t xml:space="preserve"> for Public Services</w:t>
      </w:r>
      <w:r w:rsidRPr="00AB215D">
        <w:rPr>
          <w:rFonts w:asciiTheme="minorHAnsi" w:hAnsiTheme="minorHAnsi"/>
          <w:sz w:val="20"/>
          <w:szCs w:val="20"/>
        </w:rPr>
        <w:t>, published in December 2016, increased the allocation for 2017-2019 marginally, by €</w:t>
      </w:r>
      <w:r w:rsidR="001E7ED1">
        <w:rPr>
          <w:rFonts w:asciiTheme="minorHAnsi" w:hAnsiTheme="minorHAnsi"/>
          <w:sz w:val="20"/>
          <w:szCs w:val="20"/>
        </w:rPr>
        <w:t>2</w:t>
      </w:r>
      <w:r w:rsidRPr="00AB215D">
        <w:rPr>
          <w:rFonts w:asciiTheme="minorHAnsi" w:hAnsiTheme="minorHAnsi"/>
          <w:sz w:val="20"/>
          <w:szCs w:val="20"/>
        </w:rPr>
        <w:t xml:space="preserve"> million. </w:t>
      </w:r>
    </w:p>
    <w:p w14:paraId="2D062FF4" w14:textId="77777777" w:rsidR="00980EC7" w:rsidRPr="00AB215D" w:rsidRDefault="00980EC7" w:rsidP="00AB215D">
      <w:pPr>
        <w:autoSpaceDE w:val="0"/>
        <w:autoSpaceDN w:val="0"/>
        <w:adjustRightInd w:val="0"/>
        <w:rPr>
          <w:sz w:val="20"/>
          <w:szCs w:val="20"/>
        </w:rPr>
      </w:pPr>
    </w:p>
    <w:p w14:paraId="616A6068" w14:textId="2BF0FF03" w:rsidR="00980EC7" w:rsidRPr="00AB215D" w:rsidRDefault="003A4DC5" w:rsidP="00ED32FB">
      <w:pPr>
        <w:pStyle w:val="DKMTable"/>
        <w:spacing w:before="0" w:after="0"/>
      </w:pPr>
      <w:bookmarkStart w:id="32" w:name="_Toc478116720"/>
      <w:r w:rsidRPr="004876D9">
        <w:rPr>
          <w:sz w:val="20"/>
          <w:szCs w:val="20"/>
        </w:rPr>
        <w:t>Exchequer Gross Voted Capital Expenditure (2016-2021, €m)</w:t>
      </w:r>
      <w:bookmarkEnd w:id="32"/>
    </w:p>
    <w:tbl>
      <w:tblPr>
        <w:tblStyle w:val="ColorfulList-Accent1"/>
        <w:tblW w:w="7766" w:type="dxa"/>
        <w:tblInd w:w="-36" w:type="dxa"/>
        <w:tblLook w:val="04A0" w:firstRow="1" w:lastRow="0" w:firstColumn="1" w:lastColumn="0" w:noHBand="0" w:noVBand="1"/>
      </w:tblPr>
      <w:tblGrid>
        <w:gridCol w:w="745"/>
        <w:gridCol w:w="1559"/>
        <w:gridCol w:w="626"/>
        <w:gridCol w:w="650"/>
        <w:gridCol w:w="716"/>
        <w:gridCol w:w="716"/>
        <w:gridCol w:w="804"/>
        <w:gridCol w:w="883"/>
        <w:gridCol w:w="1067"/>
      </w:tblGrid>
      <w:tr w:rsidR="003A4DC5" w:rsidRPr="00980EC7" w14:paraId="0BCA677D" w14:textId="77777777" w:rsidTr="00980EC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 w:type="dxa"/>
            <w:noWrap/>
            <w:hideMark/>
          </w:tcPr>
          <w:p w14:paraId="242C09A3" w14:textId="77777777" w:rsidR="003A4DC5" w:rsidRPr="00980EC7" w:rsidRDefault="003A4DC5" w:rsidP="00980EC7">
            <w:pPr>
              <w:jc w:val="left"/>
              <w:rPr>
                <w:rFonts w:eastAsia="Times New Roman" w:cs="Times New Roman"/>
                <w:bCs w:val="0"/>
                <w:color w:val="FFFFFF"/>
                <w:sz w:val="18"/>
                <w:szCs w:val="18"/>
              </w:rPr>
            </w:pPr>
            <w:r w:rsidRPr="00980EC7">
              <w:rPr>
                <w:rFonts w:eastAsia="Times New Roman" w:cs="Times New Roman"/>
                <w:color w:val="FFFFFF"/>
                <w:sz w:val="18"/>
                <w:szCs w:val="18"/>
              </w:rPr>
              <w:t>Date</w:t>
            </w:r>
          </w:p>
        </w:tc>
        <w:tc>
          <w:tcPr>
            <w:tcW w:w="1559" w:type="dxa"/>
            <w:noWrap/>
            <w:hideMark/>
          </w:tcPr>
          <w:p w14:paraId="487A67A3" w14:textId="5EC4E751" w:rsidR="003A4DC5" w:rsidRPr="00980EC7" w:rsidRDefault="00980EC7" w:rsidP="00980EC7">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iCs/>
                <w:color w:val="FFFFFF"/>
                <w:sz w:val="18"/>
                <w:szCs w:val="18"/>
              </w:rPr>
            </w:pPr>
            <w:r>
              <w:rPr>
                <w:rFonts w:eastAsia="Times New Roman" w:cs="Times New Roman"/>
                <w:iCs/>
                <w:color w:val="FFFFFF"/>
                <w:sz w:val="18"/>
                <w:szCs w:val="18"/>
              </w:rPr>
              <w:t>Publication</w:t>
            </w:r>
          </w:p>
        </w:tc>
        <w:tc>
          <w:tcPr>
            <w:tcW w:w="626" w:type="dxa"/>
            <w:noWrap/>
            <w:hideMark/>
          </w:tcPr>
          <w:p w14:paraId="1AE6C59D" w14:textId="77777777" w:rsidR="003A4DC5" w:rsidRPr="00980EC7" w:rsidRDefault="003A4DC5" w:rsidP="00AB215D">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8"/>
                <w:szCs w:val="18"/>
              </w:rPr>
            </w:pPr>
            <w:r w:rsidRPr="00980EC7">
              <w:rPr>
                <w:rFonts w:eastAsia="Times New Roman" w:cs="Times New Roman"/>
                <w:color w:val="FFFFFF"/>
                <w:sz w:val="18"/>
                <w:szCs w:val="18"/>
              </w:rPr>
              <w:t>2016</w:t>
            </w:r>
          </w:p>
        </w:tc>
        <w:tc>
          <w:tcPr>
            <w:tcW w:w="650" w:type="dxa"/>
            <w:noWrap/>
            <w:hideMark/>
          </w:tcPr>
          <w:p w14:paraId="2237D302" w14:textId="77777777" w:rsidR="003A4DC5" w:rsidRPr="00980EC7" w:rsidRDefault="003A4DC5" w:rsidP="00AB215D">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8"/>
                <w:szCs w:val="18"/>
              </w:rPr>
            </w:pPr>
            <w:r w:rsidRPr="00980EC7">
              <w:rPr>
                <w:rFonts w:eastAsia="Times New Roman" w:cs="Times New Roman"/>
                <w:color w:val="FFFFFF"/>
                <w:sz w:val="18"/>
                <w:szCs w:val="18"/>
              </w:rPr>
              <w:t>2017</w:t>
            </w:r>
          </w:p>
        </w:tc>
        <w:tc>
          <w:tcPr>
            <w:tcW w:w="716" w:type="dxa"/>
            <w:noWrap/>
            <w:hideMark/>
          </w:tcPr>
          <w:p w14:paraId="52A6A554" w14:textId="77777777" w:rsidR="003A4DC5" w:rsidRPr="00980EC7" w:rsidRDefault="003A4DC5" w:rsidP="00AB215D">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8"/>
                <w:szCs w:val="18"/>
              </w:rPr>
            </w:pPr>
            <w:r w:rsidRPr="00980EC7">
              <w:rPr>
                <w:rFonts w:eastAsia="Times New Roman" w:cs="Times New Roman"/>
                <w:color w:val="FFFFFF"/>
                <w:sz w:val="18"/>
                <w:szCs w:val="18"/>
              </w:rPr>
              <w:t>2018</w:t>
            </w:r>
          </w:p>
        </w:tc>
        <w:tc>
          <w:tcPr>
            <w:tcW w:w="716" w:type="dxa"/>
            <w:noWrap/>
            <w:hideMark/>
          </w:tcPr>
          <w:p w14:paraId="5E216ACB" w14:textId="77777777" w:rsidR="003A4DC5" w:rsidRPr="00980EC7" w:rsidRDefault="003A4DC5" w:rsidP="00AB215D">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8"/>
                <w:szCs w:val="18"/>
              </w:rPr>
            </w:pPr>
            <w:r w:rsidRPr="00980EC7">
              <w:rPr>
                <w:rFonts w:eastAsia="Times New Roman" w:cs="Times New Roman"/>
                <w:color w:val="FFFFFF"/>
                <w:sz w:val="18"/>
                <w:szCs w:val="18"/>
              </w:rPr>
              <w:t>2019</w:t>
            </w:r>
          </w:p>
        </w:tc>
        <w:tc>
          <w:tcPr>
            <w:tcW w:w="804" w:type="dxa"/>
            <w:noWrap/>
            <w:hideMark/>
          </w:tcPr>
          <w:p w14:paraId="430AE16F" w14:textId="77777777" w:rsidR="003A4DC5" w:rsidRPr="00980EC7" w:rsidRDefault="003A4DC5" w:rsidP="00AB215D">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8"/>
                <w:szCs w:val="18"/>
              </w:rPr>
            </w:pPr>
            <w:r w:rsidRPr="00980EC7">
              <w:rPr>
                <w:rFonts w:eastAsia="Times New Roman" w:cs="Times New Roman"/>
                <w:color w:val="FFFFFF"/>
                <w:sz w:val="18"/>
                <w:szCs w:val="18"/>
              </w:rPr>
              <w:t>2020</w:t>
            </w:r>
          </w:p>
        </w:tc>
        <w:tc>
          <w:tcPr>
            <w:tcW w:w="883" w:type="dxa"/>
            <w:noWrap/>
            <w:hideMark/>
          </w:tcPr>
          <w:p w14:paraId="13774A8D" w14:textId="77777777" w:rsidR="003A4DC5" w:rsidRPr="00980EC7" w:rsidRDefault="003A4DC5" w:rsidP="00AB215D">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8"/>
                <w:szCs w:val="18"/>
              </w:rPr>
            </w:pPr>
            <w:r w:rsidRPr="00980EC7">
              <w:rPr>
                <w:rFonts w:eastAsia="Times New Roman" w:cs="Times New Roman"/>
                <w:color w:val="FFFFFF"/>
                <w:sz w:val="18"/>
                <w:szCs w:val="18"/>
              </w:rPr>
              <w:t>2021</w:t>
            </w:r>
          </w:p>
        </w:tc>
        <w:tc>
          <w:tcPr>
            <w:tcW w:w="1067" w:type="dxa"/>
          </w:tcPr>
          <w:p w14:paraId="6273B3ED" w14:textId="11DADE72" w:rsidR="003A4DC5" w:rsidRPr="00980EC7" w:rsidRDefault="00980EC7" w:rsidP="00AB215D">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8"/>
                <w:szCs w:val="18"/>
              </w:rPr>
            </w:pPr>
            <w:r>
              <w:rPr>
                <w:rFonts w:eastAsia="Times New Roman" w:cs="Times New Roman"/>
                <w:bCs w:val="0"/>
                <w:color w:val="FFFFFF"/>
                <w:sz w:val="18"/>
                <w:szCs w:val="18"/>
              </w:rPr>
              <w:t xml:space="preserve">Total </w:t>
            </w:r>
            <w:r w:rsidR="004876D9">
              <w:rPr>
                <w:rFonts w:eastAsia="Times New Roman" w:cs="Times New Roman"/>
                <w:bCs w:val="0"/>
                <w:color w:val="FFFFFF"/>
                <w:sz w:val="18"/>
                <w:szCs w:val="18"/>
              </w:rPr>
              <w:t xml:space="preserve"> 2016-2021</w:t>
            </w:r>
          </w:p>
        </w:tc>
      </w:tr>
      <w:tr w:rsidR="003A4DC5" w:rsidRPr="00980EC7" w14:paraId="36ED49AE" w14:textId="77777777" w:rsidTr="00980E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 w:type="dxa"/>
            <w:noWrap/>
            <w:hideMark/>
          </w:tcPr>
          <w:p w14:paraId="6EF0D876" w14:textId="77777777" w:rsidR="003A4DC5" w:rsidRPr="00980EC7" w:rsidRDefault="003A4DC5" w:rsidP="00980EC7">
            <w:pPr>
              <w:jc w:val="left"/>
              <w:rPr>
                <w:rFonts w:eastAsia="Times New Roman" w:cs="Times New Roman"/>
                <w:color w:val="000000"/>
                <w:sz w:val="18"/>
                <w:szCs w:val="18"/>
              </w:rPr>
            </w:pPr>
            <w:r w:rsidRPr="00980EC7">
              <w:rPr>
                <w:rFonts w:eastAsia="Times New Roman" w:cs="Times New Roman"/>
                <w:color w:val="000000"/>
                <w:sz w:val="18"/>
                <w:szCs w:val="18"/>
              </w:rPr>
              <w:t>Sep-15</w:t>
            </w:r>
          </w:p>
        </w:tc>
        <w:tc>
          <w:tcPr>
            <w:tcW w:w="1559" w:type="dxa"/>
            <w:noWrap/>
            <w:hideMark/>
          </w:tcPr>
          <w:p w14:paraId="28AD0D98" w14:textId="77777777" w:rsidR="003A4DC5" w:rsidRPr="00980EC7" w:rsidRDefault="003A4DC5" w:rsidP="00AB215D">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18"/>
              </w:rPr>
            </w:pPr>
            <w:r w:rsidRPr="00980EC7">
              <w:rPr>
                <w:rFonts w:eastAsia="Times New Roman" w:cs="Times New Roman"/>
                <w:b/>
                <w:bCs/>
                <w:color w:val="000000"/>
                <w:sz w:val="18"/>
                <w:szCs w:val="18"/>
              </w:rPr>
              <w:t>Capital Plan</w:t>
            </w:r>
          </w:p>
        </w:tc>
        <w:tc>
          <w:tcPr>
            <w:tcW w:w="626" w:type="dxa"/>
            <w:noWrap/>
            <w:hideMark/>
          </w:tcPr>
          <w:p w14:paraId="11EF5B42"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3,800</w:t>
            </w:r>
          </w:p>
        </w:tc>
        <w:tc>
          <w:tcPr>
            <w:tcW w:w="650" w:type="dxa"/>
            <w:noWrap/>
            <w:hideMark/>
          </w:tcPr>
          <w:p w14:paraId="268CC10E"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3,971</w:t>
            </w:r>
          </w:p>
        </w:tc>
        <w:tc>
          <w:tcPr>
            <w:tcW w:w="716" w:type="dxa"/>
            <w:noWrap/>
            <w:hideMark/>
          </w:tcPr>
          <w:p w14:paraId="00D6F3E8"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4,230</w:t>
            </w:r>
          </w:p>
        </w:tc>
        <w:tc>
          <w:tcPr>
            <w:tcW w:w="716" w:type="dxa"/>
            <w:noWrap/>
            <w:hideMark/>
          </w:tcPr>
          <w:p w14:paraId="5157B923"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4,600</w:t>
            </w:r>
          </w:p>
        </w:tc>
        <w:tc>
          <w:tcPr>
            <w:tcW w:w="804" w:type="dxa"/>
            <w:noWrap/>
            <w:hideMark/>
          </w:tcPr>
          <w:p w14:paraId="2D6653DA"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5,000</w:t>
            </w:r>
          </w:p>
        </w:tc>
        <w:tc>
          <w:tcPr>
            <w:tcW w:w="883" w:type="dxa"/>
            <w:noWrap/>
            <w:hideMark/>
          </w:tcPr>
          <w:p w14:paraId="49AB92DC"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5,400</w:t>
            </w:r>
          </w:p>
        </w:tc>
        <w:tc>
          <w:tcPr>
            <w:tcW w:w="1067" w:type="dxa"/>
          </w:tcPr>
          <w:p w14:paraId="562DD265" w14:textId="000EEA44" w:rsidR="003A4DC5" w:rsidRPr="004876D9" w:rsidRDefault="003A4DC5" w:rsidP="004876D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rPr>
            </w:pPr>
            <w:r w:rsidRPr="004876D9">
              <w:rPr>
                <w:rFonts w:eastAsia="Times New Roman" w:cs="Times New Roman"/>
                <w:b/>
                <w:color w:val="000000"/>
                <w:sz w:val="18"/>
                <w:szCs w:val="18"/>
              </w:rPr>
              <w:t>27,00</w:t>
            </w:r>
            <w:r w:rsidR="004876D9">
              <w:rPr>
                <w:rFonts w:eastAsia="Times New Roman" w:cs="Times New Roman"/>
                <w:b/>
                <w:color w:val="000000"/>
                <w:sz w:val="18"/>
                <w:szCs w:val="18"/>
              </w:rPr>
              <w:t>1</w:t>
            </w:r>
          </w:p>
        </w:tc>
      </w:tr>
      <w:tr w:rsidR="003A4DC5" w:rsidRPr="00980EC7" w14:paraId="77B72726" w14:textId="77777777" w:rsidTr="00980EC7">
        <w:trPr>
          <w:trHeight w:val="20"/>
        </w:trPr>
        <w:tc>
          <w:tcPr>
            <w:cnfStyle w:val="001000000000" w:firstRow="0" w:lastRow="0" w:firstColumn="1" w:lastColumn="0" w:oddVBand="0" w:evenVBand="0" w:oddHBand="0" w:evenHBand="0" w:firstRowFirstColumn="0" w:firstRowLastColumn="0" w:lastRowFirstColumn="0" w:lastRowLastColumn="0"/>
            <w:tcW w:w="745" w:type="dxa"/>
            <w:noWrap/>
            <w:hideMark/>
          </w:tcPr>
          <w:p w14:paraId="48305BA5" w14:textId="77777777" w:rsidR="003A4DC5" w:rsidRPr="00980EC7" w:rsidRDefault="003A4DC5" w:rsidP="00980EC7">
            <w:pPr>
              <w:jc w:val="left"/>
              <w:rPr>
                <w:rFonts w:eastAsia="Times New Roman" w:cs="Times New Roman"/>
                <w:color w:val="000000"/>
                <w:sz w:val="18"/>
                <w:szCs w:val="18"/>
              </w:rPr>
            </w:pPr>
            <w:r w:rsidRPr="00980EC7">
              <w:rPr>
                <w:rFonts w:eastAsia="Times New Roman" w:cs="Times New Roman"/>
                <w:color w:val="000000"/>
                <w:sz w:val="18"/>
                <w:szCs w:val="18"/>
              </w:rPr>
              <w:t>Oct-16</w:t>
            </w:r>
          </w:p>
        </w:tc>
        <w:tc>
          <w:tcPr>
            <w:tcW w:w="1559" w:type="dxa"/>
            <w:noWrap/>
            <w:hideMark/>
          </w:tcPr>
          <w:p w14:paraId="0238B511" w14:textId="77777777" w:rsidR="003A4DC5" w:rsidRPr="00980EC7" w:rsidRDefault="003A4DC5" w:rsidP="00AB215D">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sidRPr="00980EC7">
              <w:rPr>
                <w:rFonts w:eastAsia="Times New Roman" w:cs="Times New Roman"/>
                <w:b/>
                <w:bCs/>
                <w:color w:val="000000"/>
                <w:sz w:val="18"/>
                <w:szCs w:val="18"/>
              </w:rPr>
              <w:t>Budget 2017</w:t>
            </w:r>
          </w:p>
        </w:tc>
        <w:tc>
          <w:tcPr>
            <w:tcW w:w="626" w:type="dxa"/>
            <w:noWrap/>
            <w:hideMark/>
          </w:tcPr>
          <w:p w14:paraId="548704C6"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4,165</w:t>
            </w:r>
          </w:p>
        </w:tc>
        <w:tc>
          <w:tcPr>
            <w:tcW w:w="650" w:type="dxa"/>
            <w:noWrap/>
            <w:hideMark/>
          </w:tcPr>
          <w:p w14:paraId="5ACEF13A"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4,535</w:t>
            </w:r>
          </w:p>
        </w:tc>
        <w:tc>
          <w:tcPr>
            <w:tcW w:w="716" w:type="dxa"/>
            <w:noWrap/>
            <w:hideMark/>
          </w:tcPr>
          <w:p w14:paraId="500931FC" w14:textId="25260C6E" w:rsidR="003A4DC5" w:rsidRPr="00980EC7" w:rsidRDefault="003A4DC5" w:rsidP="004876D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5,29</w:t>
            </w:r>
            <w:r w:rsidR="004876D9">
              <w:rPr>
                <w:rFonts w:eastAsia="Times New Roman" w:cs="Times New Roman"/>
                <w:color w:val="000000"/>
                <w:sz w:val="18"/>
                <w:szCs w:val="18"/>
              </w:rPr>
              <w:t>5</w:t>
            </w:r>
          </w:p>
        </w:tc>
        <w:tc>
          <w:tcPr>
            <w:tcW w:w="716" w:type="dxa"/>
            <w:noWrap/>
            <w:hideMark/>
          </w:tcPr>
          <w:p w14:paraId="0BCF6A51"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6,070</w:t>
            </w:r>
          </w:p>
        </w:tc>
        <w:tc>
          <w:tcPr>
            <w:tcW w:w="804" w:type="dxa"/>
            <w:noWrap/>
            <w:hideMark/>
          </w:tcPr>
          <w:p w14:paraId="2F2E49C4"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6,675</w:t>
            </w:r>
          </w:p>
        </w:tc>
        <w:tc>
          <w:tcPr>
            <w:tcW w:w="883" w:type="dxa"/>
            <w:noWrap/>
            <w:hideMark/>
          </w:tcPr>
          <w:p w14:paraId="1DD0C1B7"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7,285</w:t>
            </w:r>
          </w:p>
        </w:tc>
        <w:tc>
          <w:tcPr>
            <w:tcW w:w="1067" w:type="dxa"/>
          </w:tcPr>
          <w:p w14:paraId="6CA45754" w14:textId="643B67A2" w:rsidR="003A4DC5" w:rsidRPr="004876D9" w:rsidRDefault="003A4DC5" w:rsidP="00A23C5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rPr>
            </w:pPr>
            <w:r w:rsidRPr="004876D9">
              <w:rPr>
                <w:rFonts w:eastAsia="Times New Roman" w:cs="Times New Roman"/>
                <w:b/>
                <w:color w:val="000000"/>
                <w:sz w:val="18"/>
                <w:szCs w:val="18"/>
              </w:rPr>
              <w:t>34,02</w:t>
            </w:r>
            <w:r w:rsidR="00A23C59">
              <w:rPr>
                <w:rFonts w:eastAsia="Times New Roman" w:cs="Times New Roman"/>
                <w:b/>
                <w:color w:val="000000"/>
                <w:sz w:val="18"/>
                <w:szCs w:val="18"/>
              </w:rPr>
              <w:t>5</w:t>
            </w:r>
          </w:p>
        </w:tc>
      </w:tr>
      <w:tr w:rsidR="003A4DC5" w:rsidRPr="00980EC7" w14:paraId="1F14B00F" w14:textId="77777777" w:rsidTr="00980E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 w:type="dxa"/>
            <w:noWrap/>
            <w:hideMark/>
          </w:tcPr>
          <w:p w14:paraId="4865E3E6" w14:textId="77777777" w:rsidR="003A4DC5" w:rsidRPr="00980EC7" w:rsidRDefault="003A4DC5" w:rsidP="00980EC7">
            <w:pPr>
              <w:jc w:val="left"/>
              <w:rPr>
                <w:rFonts w:eastAsia="Times New Roman" w:cs="Times New Roman"/>
                <w:color w:val="000000"/>
                <w:sz w:val="18"/>
                <w:szCs w:val="18"/>
              </w:rPr>
            </w:pPr>
          </w:p>
        </w:tc>
        <w:tc>
          <w:tcPr>
            <w:tcW w:w="1559" w:type="dxa"/>
            <w:noWrap/>
            <w:hideMark/>
          </w:tcPr>
          <w:p w14:paraId="07E4DB94" w14:textId="77777777" w:rsidR="003A4DC5" w:rsidRPr="00980EC7" w:rsidRDefault="003A4DC5" w:rsidP="00AB215D">
            <w:pPr>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 xml:space="preserve">Difference </w:t>
            </w:r>
          </w:p>
          <w:p w14:paraId="71C87B41" w14:textId="77777777" w:rsidR="003A4DC5" w:rsidRPr="00980EC7" w:rsidRDefault="003A4DC5" w:rsidP="00AB215D">
            <w:pPr>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(v Capital Plan)</w:t>
            </w:r>
          </w:p>
        </w:tc>
        <w:tc>
          <w:tcPr>
            <w:tcW w:w="626" w:type="dxa"/>
            <w:noWrap/>
            <w:hideMark/>
          </w:tcPr>
          <w:p w14:paraId="332D592F"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+365</w:t>
            </w:r>
          </w:p>
        </w:tc>
        <w:tc>
          <w:tcPr>
            <w:tcW w:w="650" w:type="dxa"/>
            <w:noWrap/>
            <w:hideMark/>
          </w:tcPr>
          <w:p w14:paraId="6DC3418E"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+564</w:t>
            </w:r>
          </w:p>
        </w:tc>
        <w:tc>
          <w:tcPr>
            <w:tcW w:w="716" w:type="dxa"/>
            <w:noWrap/>
            <w:hideMark/>
          </w:tcPr>
          <w:p w14:paraId="76B6CA7C" w14:textId="7AD747E1" w:rsidR="003A4DC5" w:rsidRPr="00980EC7" w:rsidRDefault="003A4DC5" w:rsidP="00A23C5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+1,06</w:t>
            </w:r>
            <w:r w:rsidR="00A23C59">
              <w:rPr>
                <w:rFonts w:eastAsia="Times New Roman" w:cs="Times New Roman"/>
                <w:i/>
                <w:iCs/>
                <w:color w:val="000000"/>
                <w:sz w:val="18"/>
                <w:szCs w:val="18"/>
              </w:rPr>
              <w:t>5</w:t>
            </w:r>
          </w:p>
        </w:tc>
        <w:tc>
          <w:tcPr>
            <w:tcW w:w="716" w:type="dxa"/>
            <w:noWrap/>
            <w:hideMark/>
          </w:tcPr>
          <w:p w14:paraId="5D82F872"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+1,470</w:t>
            </w:r>
          </w:p>
        </w:tc>
        <w:tc>
          <w:tcPr>
            <w:tcW w:w="804" w:type="dxa"/>
            <w:noWrap/>
            <w:hideMark/>
          </w:tcPr>
          <w:p w14:paraId="048221EE"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+1,675</w:t>
            </w:r>
          </w:p>
        </w:tc>
        <w:tc>
          <w:tcPr>
            <w:tcW w:w="883" w:type="dxa"/>
            <w:noWrap/>
            <w:hideMark/>
          </w:tcPr>
          <w:p w14:paraId="0F5C6C40"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+1,885</w:t>
            </w:r>
          </w:p>
        </w:tc>
        <w:tc>
          <w:tcPr>
            <w:tcW w:w="1067" w:type="dxa"/>
          </w:tcPr>
          <w:p w14:paraId="67B17CFC" w14:textId="793FFDA5" w:rsidR="003A4DC5" w:rsidRPr="004876D9" w:rsidRDefault="003A4DC5" w:rsidP="00A23C5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i/>
                <w:iCs/>
                <w:color w:val="000000"/>
                <w:sz w:val="18"/>
                <w:szCs w:val="18"/>
              </w:rPr>
            </w:pPr>
            <w:r w:rsidRPr="004876D9">
              <w:rPr>
                <w:rFonts w:eastAsia="Times New Roman" w:cs="Times New Roman"/>
                <w:b/>
                <w:i/>
                <w:iCs/>
                <w:color w:val="000000"/>
                <w:sz w:val="18"/>
                <w:szCs w:val="18"/>
              </w:rPr>
              <w:t>+7,02</w:t>
            </w:r>
            <w:r w:rsidR="00A23C59">
              <w:rPr>
                <w:rFonts w:eastAsia="Times New Roman" w:cs="Times New Roman"/>
                <w:b/>
                <w:i/>
                <w:iCs/>
                <w:color w:val="000000"/>
                <w:sz w:val="18"/>
                <w:szCs w:val="18"/>
              </w:rPr>
              <w:t>4</w:t>
            </w:r>
          </w:p>
        </w:tc>
      </w:tr>
      <w:tr w:rsidR="003A4DC5" w:rsidRPr="00980EC7" w14:paraId="58738EA6" w14:textId="77777777" w:rsidTr="00980EC7">
        <w:trPr>
          <w:trHeight w:val="20"/>
        </w:trPr>
        <w:tc>
          <w:tcPr>
            <w:cnfStyle w:val="001000000000" w:firstRow="0" w:lastRow="0" w:firstColumn="1" w:lastColumn="0" w:oddVBand="0" w:evenVBand="0" w:oddHBand="0" w:evenHBand="0" w:firstRowFirstColumn="0" w:firstRowLastColumn="0" w:lastRowFirstColumn="0" w:lastRowLastColumn="0"/>
            <w:tcW w:w="745" w:type="dxa"/>
            <w:noWrap/>
            <w:hideMark/>
          </w:tcPr>
          <w:p w14:paraId="77B2E120" w14:textId="77777777" w:rsidR="003A4DC5" w:rsidRPr="00980EC7" w:rsidRDefault="003A4DC5" w:rsidP="00980EC7">
            <w:pPr>
              <w:jc w:val="left"/>
              <w:rPr>
                <w:rFonts w:eastAsia="Times New Roman" w:cs="Times New Roman"/>
                <w:color w:val="000000"/>
                <w:sz w:val="18"/>
                <w:szCs w:val="18"/>
              </w:rPr>
            </w:pPr>
            <w:r w:rsidRPr="00980EC7">
              <w:rPr>
                <w:rFonts w:eastAsia="Times New Roman" w:cs="Times New Roman"/>
                <w:color w:val="000000"/>
                <w:sz w:val="18"/>
                <w:szCs w:val="18"/>
              </w:rPr>
              <w:t>Dec-16</w:t>
            </w:r>
          </w:p>
        </w:tc>
        <w:tc>
          <w:tcPr>
            <w:tcW w:w="1559" w:type="dxa"/>
            <w:noWrap/>
            <w:hideMark/>
          </w:tcPr>
          <w:p w14:paraId="247372E0" w14:textId="77777777" w:rsidR="003A4DC5" w:rsidRPr="00980EC7" w:rsidRDefault="003A4DC5" w:rsidP="00AB215D">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sidRPr="00980EC7">
              <w:rPr>
                <w:rFonts w:eastAsia="Times New Roman" w:cs="Times New Roman"/>
                <w:b/>
                <w:bCs/>
                <w:color w:val="000000"/>
                <w:sz w:val="18"/>
                <w:szCs w:val="18"/>
              </w:rPr>
              <w:t>Revised Estimates</w:t>
            </w:r>
          </w:p>
        </w:tc>
        <w:tc>
          <w:tcPr>
            <w:tcW w:w="626" w:type="dxa"/>
            <w:noWrap/>
            <w:hideMark/>
          </w:tcPr>
          <w:p w14:paraId="7C0AC4BA"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4,240</w:t>
            </w:r>
          </w:p>
        </w:tc>
        <w:tc>
          <w:tcPr>
            <w:tcW w:w="650" w:type="dxa"/>
            <w:noWrap/>
            <w:hideMark/>
          </w:tcPr>
          <w:p w14:paraId="442A0D1B"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4,541</w:t>
            </w:r>
          </w:p>
        </w:tc>
        <w:tc>
          <w:tcPr>
            <w:tcW w:w="716" w:type="dxa"/>
            <w:noWrap/>
            <w:hideMark/>
          </w:tcPr>
          <w:p w14:paraId="1C459044"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5,292</w:t>
            </w:r>
          </w:p>
        </w:tc>
        <w:tc>
          <w:tcPr>
            <w:tcW w:w="716" w:type="dxa"/>
            <w:noWrap/>
            <w:hideMark/>
          </w:tcPr>
          <w:p w14:paraId="33BC30CF"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6,069</w:t>
            </w:r>
          </w:p>
        </w:tc>
        <w:tc>
          <w:tcPr>
            <w:tcW w:w="804" w:type="dxa"/>
            <w:noWrap/>
            <w:hideMark/>
          </w:tcPr>
          <w:p w14:paraId="55A94034"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980EC7">
              <w:rPr>
                <w:rFonts w:eastAsia="Times New Roman" w:cs="Times New Roman"/>
                <w:color w:val="000000"/>
                <w:sz w:val="18"/>
                <w:szCs w:val="18"/>
              </w:rPr>
              <w:t>No data</w:t>
            </w:r>
          </w:p>
        </w:tc>
        <w:tc>
          <w:tcPr>
            <w:tcW w:w="883" w:type="dxa"/>
            <w:noWrap/>
            <w:hideMark/>
          </w:tcPr>
          <w:p w14:paraId="5910DDE9" w14:textId="77777777" w:rsidR="003A4DC5" w:rsidRPr="00980EC7" w:rsidRDefault="003A4DC5"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80EC7">
              <w:rPr>
                <w:rFonts w:eastAsia="Times New Roman" w:cs="Times New Roman"/>
                <w:sz w:val="18"/>
                <w:szCs w:val="18"/>
              </w:rPr>
              <w:t>No data</w:t>
            </w:r>
          </w:p>
        </w:tc>
        <w:tc>
          <w:tcPr>
            <w:tcW w:w="1067" w:type="dxa"/>
          </w:tcPr>
          <w:p w14:paraId="771E175F" w14:textId="1C639E88" w:rsidR="003A4DC5" w:rsidRPr="004876D9" w:rsidRDefault="004876D9" w:rsidP="00AB21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rFonts w:eastAsia="Times New Roman" w:cs="Times New Roman"/>
                <w:b/>
                <w:sz w:val="18"/>
                <w:szCs w:val="18"/>
              </w:rPr>
              <w:t>N/A</w:t>
            </w:r>
          </w:p>
        </w:tc>
      </w:tr>
      <w:tr w:rsidR="003A4DC5" w:rsidRPr="00980EC7" w14:paraId="73E1E86B" w14:textId="77777777" w:rsidTr="00980E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 w:type="dxa"/>
            <w:noWrap/>
            <w:hideMark/>
          </w:tcPr>
          <w:p w14:paraId="643448F3" w14:textId="77777777" w:rsidR="003A4DC5" w:rsidRPr="00980EC7" w:rsidRDefault="003A4DC5" w:rsidP="00AB215D">
            <w:pPr>
              <w:rPr>
                <w:rFonts w:eastAsia="Times New Roman" w:cs="Times New Roman"/>
                <w:sz w:val="18"/>
                <w:szCs w:val="18"/>
              </w:rPr>
            </w:pPr>
          </w:p>
        </w:tc>
        <w:tc>
          <w:tcPr>
            <w:tcW w:w="1559" w:type="dxa"/>
            <w:noWrap/>
            <w:hideMark/>
          </w:tcPr>
          <w:p w14:paraId="44DF7987" w14:textId="77777777" w:rsidR="003A4DC5" w:rsidRPr="00980EC7" w:rsidRDefault="003A4DC5" w:rsidP="00AB215D">
            <w:pPr>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 xml:space="preserve">Difference </w:t>
            </w:r>
          </w:p>
          <w:p w14:paraId="4C46156C" w14:textId="77777777" w:rsidR="003A4DC5" w:rsidRPr="00980EC7" w:rsidRDefault="003A4DC5" w:rsidP="00AB215D">
            <w:pPr>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(v Budget 2017)</w:t>
            </w:r>
          </w:p>
        </w:tc>
        <w:tc>
          <w:tcPr>
            <w:tcW w:w="626" w:type="dxa"/>
            <w:noWrap/>
            <w:hideMark/>
          </w:tcPr>
          <w:p w14:paraId="37B0A0DC"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+75</w:t>
            </w:r>
          </w:p>
        </w:tc>
        <w:tc>
          <w:tcPr>
            <w:tcW w:w="650" w:type="dxa"/>
            <w:noWrap/>
            <w:hideMark/>
          </w:tcPr>
          <w:p w14:paraId="0E17DC7C"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+6</w:t>
            </w:r>
          </w:p>
        </w:tc>
        <w:tc>
          <w:tcPr>
            <w:tcW w:w="716" w:type="dxa"/>
            <w:noWrap/>
            <w:hideMark/>
          </w:tcPr>
          <w:p w14:paraId="44723C3E" w14:textId="62C7C350" w:rsidR="003A4DC5" w:rsidRPr="00980EC7" w:rsidRDefault="00A23C59"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Pr>
                <w:rFonts w:eastAsia="Times New Roman" w:cs="Times New Roman"/>
                <w:i/>
                <w:iCs/>
                <w:color w:val="000000"/>
                <w:sz w:val="18"/>
                <w:szCs w:val="18"/>
              </w:rPr>
              <w:t>-3</w:t>
            </w:r>
          </w:p>
        </w:tc>
        <w:tc>
          <w:tcPr>
            <w:tcW w:w="716" w:type="dxa"/>
            <w:noWrap/>
            <w:hideMark/>
          </w:tcPr>
          <w:p w14:paraId="6D7DDD07"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-1</w:t>
            </w:r>
          </w:p>
        </w:tc>
        <w:tc>
          <w:tcPr>
            <w:tcW w:w="804" w:type="dxa"/>
            <w:noWrap/>
            <w:hideMark/>
          </w:tcPr>
          <w:p w14:paraId="109552D4"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8"/>
                <w:szCs w:val="18"/>
              </w:rPr>
            </w:pPr>
            <w:r w:rsidRPr="00980EC7">
              <w:rPr>
                <w:rFonts w:eastAsia="Times New Roman" w:cs="Times New Roman"/>
                <w:i/>
                <w:iCs/>
                <w:color w:val="000000"/>
                <w:sz w:val="18"/>
                <w:szCs w:val="18"/>
              </w:rPr>
              <w:t>n/a</w:t>
            </w:r>
          </w:p>
        </w:tc>
        <w:tc>
          <w:tcPr>
            <w:tcW w:w="883" w:type="dxa"/>
            <w:noWrap/>
            <w:hideMark/>
          </w:tcPr>
          <w:p w14:paraId="4B97371A" w14:textId="77777777" w:rsidR="003A4DC5" w:rsidRPr="00980EC7" w:rsidRDefault="003A4DC5" w:rsidP="00AB21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sz w:val="18"/>
                <w:szCs w:val="18"/>
              </w:rPr>
            </w:pPr>
            <w:r w:rsidRPr="00980EC7">
              <w:rPr>
                <w:rFonts w:eastAsia="Times New Roman" w:cs="Times New Roman"/>
                <w:i/>
                <w:sz w:val="18"/>
                <w:szCs w:val="18"/>
              </w:rPr>
              <w:t>n/a</w:t>
            </w:r>
          </w:p>
        </w:tc>
        <w:tc>
          <w:tcPr>
            <w:tcW w:w="1067" w:type="dxa"/>
          </w:tcPr>
          <w:p w14:paraId="0329C11B" w14:textId="2D93DCE1" w:rsidR="003A4DC5" w:rsidRPr="004876D9" w:rsidRDefault="003A4DC5" w:rsidP="00A23C5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i/>
                <w:sz w:val="18"/>
                <w:szCs w:val="18"/>
              </w:rPr>
            </w:pPr>
            <w:r w:rsidRPr="004876D9">
              <w:rPr>
                <w:rFonts w:eastAsia="Times New Roman" w:cs="Times New Roman"/>
                <w:b/>
                <w:i/>
                <w:sz w:val="18"/>
                <w:szCs w:val="18"/>
              </w:rPr>
              <w:t>+</w:t>
            </w:r>
            <w:r w:rsidR="00A23C59">
              <w:rPr>
                <w:rFonts w:eastAsia="Times New Roman" w:cs="Times New Roman"/>
                <w:b/>
                <w:i/>
                <w:sz w:val="18"/>
                <w:szCs w:val="18"/>
              </w:rPr>
              <w:t>77</w:t>
            </w:r>
          </w:p>
        </w:tc>
      </w:tr>
    </w:tbl>
    <w:p w14:paraId="3C9E593E" w14:textId="7837739A" w:rsidR="003A4DC5" w:rsidRPr="005D6F2D" w:rsidRDefault="003A4DC5" w:rsidP="00980EC7">
      <w:pPr>
        <w:pStyle w:val="DKMBodyText"/>
        <w:spacing w:line="240" w:lineRule="auto"/>
        <w:rPr>
          <w:rFonts w:asciiTheme="minorHAnsi" w:hAnsiTheme="minorHAnsi"/>
          <w:sz w:val="18"/>
          <w:szCs w:val="18"/>
        </w:rPr>
      </w:pPr>
      <w:r w:rsidRPr="005D6F2D">
        <w:rPr>
          <w:rFonts w:asciiTheme="minorHAnsi" w:hAnsiTheme="minorHAnsi"/>
          <w:sz w:val="18"/>
          <w:szCs w:val="18"/>
        </w:rPr>
        <w:t xml:space="preserve">Source: Capital Plan, Budget 2017, Revised Estimates </w:t>
      </w:r>
      <w:r w:rsidR="00F01D7F">
        <w:rPr>
          <w:rFonts w:asciiTheme="minorHAnsi" w:hAnsiTheme="minorHAnsi"/>
          <w:sz w:val="18"/>
          <w:szCs w:val="18"/>
        </w:rPr>
        <w:t xml:space="preserve">for Public Services </w:t>
      </w:r>
      <w:r w:rsidRPr="005D6F2D">
        <w:rPr>
          <w:rFonts w:asciiTheme="minorHAnsi" w:hAnsiTheme="minorHAnsi"/>
          <w:sz w:val="18"/>
          <w:szCs w:val="18"/>
        </w:rPr>
        <w:t>2017</w:t>
      </w:r>
      <w:r w:rsidR="004876D9" w:rsidRPr="005D6F2D">
        <w:rPr>
          <w:rFonts w:asciiTheme="minorHAnsi" w:hAnsiTheme="minorHAnsi"/>
          <w:sz w:val="18"/>
          <w:szCs w:val="18"/>
        </w:rPr>
        <w:t>.</w:t>
      </w:r>
    </w:p>
    <w:p w14:paraId="21D2808F" w14:textId="77777777" w:rsidR="003A4DC5" w:rsidRPr="00AB215D" w:rsidRDefault="003A4DC5" w:rsidP="00AB215D">
      <w:pPr>
        <w:rPr>
          <w:sz w:val="20"/>
          <w:szCs w:val="20"/>
        </w:rPr>
      </w:pPr>
    </w:p>
    <w:p w14:paraId="394C25A3" w14:textId="2418D907" w:rsidR="003B0EFC" w:rsidRDefault="003B0EFC" w:rsidP="0063437E">
      <w:pPr>
        <w:spacing w:line="260" w:lineRule="atLeast"/>
        <w:rPr>
          <w:rFonts w:cs="Arial"/>
          <w:color w:val="FF0000"/>
          <w:sz w:val="20"/>
          <w:szCs w:val="20"/>
        </w:rPr>
      </w:pPr>
      <w:r w:rsidRPr="00E65E4E">
        <w:rPr>
          <w:rFonts w:cs="Arial"/>
          <w:sz w:val="20"/>
          <w:szCs w:val="20"/>
        </w:rPr>
        <w:t xml:space="preserve">The total Exchequer capital provision represented </w:t>
      </w:r>
      <w:r w:rsidR="00E67108" w:rsidRPr="00E65E4E">
        <w:rPr>
          <w:rFonts w:cs="Arial"/>
          <w:sz w:val="20"/>
          <w:szCs w:val="20"/>
        </w:rPr>
        <w:t>1.9</w:t>
      </w:r>
      <w:r w:rsidRPr="00E65E4E">
        <w:rPr>
          <w:rFonts w:cs="Arial"/>
          <w:sz w:val="20"/>
          <w:szCs w:val="20"/>
        </w:rPr>
        <w:t xml:space="preserve"> per cent of GNP</w:t>
      </w:r>
      <w:r w:rsidR="00C47170">
        <w:rPr>
          <w:rFonts w:cs="Arial"/>
          <w:sz w:val="20"/>
          <w:szCs w:val="20"/>
        </w:rPr>
        <w:t xml:space="preserve"> </w:t>
      </w:r>
      <w:r w:rsidRPr="00E65E4E">
        <w:rPr>
          <w:rFonts w:cs="Arial"/>
          <w:sz w:val="20"/>
          <w:szCs w:val="20"/>
        </w:rPr>
        <w:t xml:space="preserve">in 2016 and is </w:t>
      </w:r>
      <w:r w:rsidRPr="00513210">
        <w:rPr>
          <w:rFonts w:cs="Arial"/>
          <w:sz w:val="20"/>
          <w:szCs w:val="20"/>
        </w:rPr>
        <w:t>projected to rise marginally to 2 per cent in 2017</w:t>
      </w:r>
      <w:r w:rsidR="001E7ED1">
        <w:rPr>
          <w:rFonts w:cs="Arial"/>
          <w:sz w:val="20"/>
          <w:szCs w:val="20"/>
        </w:rPr>
        <w:t xml:space="preserve"> (Table 3.1)</w:t>
      </w:r>
      <w:r w:rsidRPr="00513210">
        <w:rPr>
          <w:rFonts w:cs="Arial"/>
          <w:sz w:val="20"/>
          <w:szCs w:val="20"/>
        </w:rPr>
        <w:t>, 2.</w:t>
      </w:r>
      <w:r w:rsidR="00513210" w:rsidRPr="00513210">
        <w:rPr>
          <w:rFonts w:cs="Arial"/>
          <w:sz w:val="20"/>
          <w:szCs w:val="20"/>
        </w:rPr>
        <w:t>2</w:t>
      </w:r>
      <w:r w:rsidRPr="00513210">
        <w:rPr>
          <w:rFonts w:cs="Arial"/>
          <w:sz w:val="20"/>
          <w:szCs w:val="20"/>
        </w:rPr>
        <w:t xml:space="preserve"> per cent in 2018 and 2.</w:t>
      </w:r>
      <w:r w:rsidR="00513210" w:rsidRPr="00513210">
        <w:rPr>
          <w:rFonts w:cs="Arial"/>
          <w:sz w:val="20"/>
          <w:szCs w:val="20"/>
        </w:rPr>
        <w:t>4</w:t>
      </w:r>
      <w:r w:rsidRPr="00513210">
        <w:rPr>
          <w:rFonts w:cs="Arial"/>
          <w:sz w:val="20"/>
          <w:szCs w:val="20"/>
        </w:rPr>
        <w:t xml:space="preserve"> per cent in 2019, compared with </w:t>
      </w:r>
      <w:r w:rsidR="00E67108" w:rsidRPr="00513210">
        <w:rPr>
          <w:rFonts w:cs="Arial"/>
          <w:sz w:val="20"/>
          <w:szCs w:val="20"/>
        </w:rPr>
        <w:t>5.6</w:t>
      </w:r>
      <w:r w:rsidRPr="00513210">
        <w:rPr>
          <w:rFonts w:cs="Arial"/>
          <w:sz w:val="20"/>
          <w:szCs w:val="20"/>
        </w:rPr>
        <w:t xml:space="preserve"> per cent in 2008</w:t>
      </w:r>
      <w:r w:rsidR="00513210" w:rsidRPr="00513210">
        <w:rPr>
          <w:rFonts w:cs="Arial"/>
          <w:sz w:val="20"/>
          <w:szCs w:val="20"/>
        </w:rPr>
        <w:t>.</w:t>
      </w:r>
      <w:r w:rsidRPr="00C47170">
        <w:rPr>
          <w:rFonts w:cs="Arial"/>
          <w:color w:val="FF0000"/>
          <w:sz w:val="20"/>
          <w:szCs w:val="20"/>
        </w:rPr>
        <w:t xml:space="preserve">   </w:t>
      </w:r>
    </w:p>
    <w:p w14:paraId="7E1825BD" w14:textId="77777777" w:rsidR="00884372" w:rsidRPr="008E47D7" w:rsidRDefault="00884372" w:rsidP="008E47D7">
      <w:pPr>
        <w:rPr>
          <w:rFonts w:cs="Arial"/>
          <w:sz w:val="20"/>
          <w:szCs w:val="20"/>
        </w:rPr>
      </w:pPr>
    </w:p>
    <w:p w14:paraId="53B1FB11" w14:textId="3B95AC48" w:rsidR="00884372" w:rsidRPr="008E47D7" w:rsidRDefault="00854FC2" w:rsidP="008E47D7">
      <w:pPr>
        <w:rPr>
          <w:i/>
          <w:sz w:val="20"/>
          <w:szCs w:val="20"/>
        </w:rPr>
      </w:pPr>
      <w:r w:rsidRPr="008E47D7">
        <w:rPr>
          <w:rFonts w:cs="Arial"/>
          <w:sz w:val="20"/>
          <w:szCs w:val="20"/>
        </w:rPr>
        <w:t>In regard to the Capital Plan, t</w:t>
      </w:r>
      <w:r w:rsidR="00884372" w:rsidRPr="008E47D7">
        <w:rPr>
          <w:rFonts w:cs="Arial"/>
          <w:sz w:val="20"/>
          <w:szCs w:val="20"/>
        </w:rPr>
        <w:t>he National Competitiv</w:t>
      </w:r>
      <w:r w:rsidRPr="008E47D7">
        <w:rPr>
          <w:rFonts w:cs="Arial"/>
          <w:sz w:val="20"/>
          <w:szCs w:val="20"/>
        </w:rPr>
        <w:t>eness Council has remarked that: “</w:t>
      </w:r>
      <w:r w:rsidRPr="008E47D7">
        <w:rPr>
          <w:i/>
          <w:sz w:val="20"/>
          <w:szCs w:val="20"/>
        </w:rPr>
        <w:t xml:space="preserve">The availability of world-class infrastructure in telecommunications, energy, water and transport is necessary to support sustainable growth. The Capital and Investment Plan 2016-2021 is welcome but not enough to ensure we have the infrastructure to support growth without costs rising rapidly.” </w:t>
      </w:r>
      <w:r w:rsidRPr="008E47D7">
        <w:rPr>
          <w:sz w:val="20"/>
          <w:szCs w:val="20"/>
        </w:rPr>
        <w:t>The Council further expresses concern about the low levels of investment projected over the medium-term:</w:t>
      </w:r>
      <w:r w:rsidRPr="008E47D7">
        <w:rPr>
          <w:i/>
          <w:sz w:val="20"/>
          <w:szCs w:val="20"/>
        </w:rPr>
        <w:t xml:space="preserve"> “</w:t>
      </w:r>
      <w:r w:rsidR="00884372" w:rsidRPr="008E47D7">
        <w:rPr>
          <w:i/>
          <w:sz w:val="20"/>
          <w:szCs w:val="20"/>
        </w:rPr>
        <w:t>While recent capital expenditure commitments in Ireland are welcome – present levels of investment are insufficient to close the knowledge and economic infrastructure gap between Ireland and our key competitors which still persist. Indeed, as previously noted by the Council, current expenditure plans may be insufficient to maintain and add to the existing infrastructure stock allowing for depreciation. The relatively low levels of net investment projected over the medium term represent a significant challenge in light of demographic pressure, EU budgetary commitments and clear infrastructure deficits in housing, health, education, innovation, transport and water.</w:t>
      </w:r>
      <w:r w:rsidRPr="008E47D7">
        <w:rPr>
          <w:i/>
          <w:sz w:val="20"/>
          <w:szCs w:val="20"/>
        </w:rPr>
        <w:t>”</w:t>
      </w:r>
    </w:p>
    <w:p w14:paraId="6DF99BC2" w14:textId="77777777" w:rsidR="00884372" w:rsidRPr="008E47D7" w:rsidRDefault="00884372" w:rsidP="008E47D7">
      <w:pPr>
        <w:rPr>
          <w:sz w:val="20"/>
          <w:szCs w:val="20"/>
        </w:rPr>
      </w:pPr>
    </w:p>
    <w:p w14:paraId="5FE12710" w14:textId="61FA1B18" w:rsidR="007E0916" w:rsidRDefault="00854FC2" w:rsidP="008E47D7">
      <w:pPr>
        <w:rPr>
          <w:sz w:val="20"/>
          <w:szCs w:val="20"/>
        </w:rPr>
      </w:pPr>
      <w:r w:rsidRPr="008E47D7">
        <w:rPr>
          <w:sz w:val="20"/>
          <w:szCs w:val="20"/>
        </w:rPr>
        <w:t xml:space="preserve">Further evidence of Ireland’s low rate of investment is evident from </w:t>
      </w:r>
      <w:r w:rsidR="003A4DC5" w:rsidRPr="008E47D7">
        <w:rPr>
          <w:sz w:val="20"/>
          <w:szCs w:val="20"/>
        </w:rPr>
        <w:t xml:space="preserve">Eurostat data </w:t>
      </w:r>
      <w:r w:rsidRPr="008E47D7">
        <w:rPr>
          <w:sz w:val="20"/>
          <w:szCs w:val="20"/>
        </w:rPr>
        <w:t xml:space="preserve">which shows that </w:t>
      </w:r>
      <w:r w:rsidR="003A4DC5" w:rsidRPr="008E47D7">
        <w:rPr>
          <w:sz w:val="20"/>
          <w:szCs w:val="20"/>
        </w:rPr>
        <w:t xml:space="preserve">Ireland spent the least on ‘general government fixed investment’ (voted capital investment) amongst </w:t>
      </w:r>
      <w:r w:rsidR="003A4DC5" w:rsidRPr="00AB215D">
        <w:rPr>
          <w:sz w:val="20"/>
          <w:szCs w:val="20"/>
        </w:rPr>
        <w:t>all EU countries, as a percentage of GDP, at 1.7</w:t>
      </w:r>
      <w:r w:rsidR="00E76AB8">
        <w:rPr>
          <w:sz w:val="20"/>
          <w:szCs w:val="20"/>
        </w:rPr>
        <w:t xml:space="preserve"> per cent</w:t>
      </w:r>
      <w:r w:rsidR="003A4DC5" w:rsidRPr="00AB215D">
        <w:rPr>
          <w:sz w:val="20"/>
          <w:szCs w:val="20"/>
        </w:rPr>
        <w:t xml:space="preserve"> in 2015.</w:t>
      </w:r>
      <w:r w:rsidR="003A4DC5" w:rsidRPr="00AB215D">
        <w:rPr>
          <w:rStyle w:val="FootnoteReference"/>
          <w:sz w:val="20"/>
          <w:szCs w:val="20"/>
        </w:rPr>
        <w:footnoteReference w:id="53"/>
      </w:r>
      <w:r w:rsidR="003A4DC5" w:rsidRPr="00AB215D">
        <w:rPr>
          <w:sz w:val="20"/>
          <w:szCs w:val="20"/>
        </w:rPr>
        <w:t xml:space="preserve"> The average rate was 2.7</w:t>
      </w:r>
      <w:r w:rsidR="00E76AB8">
        <w:rPr>
          <w:sz w:val="20"/>
          <w:szCs w:val="20"/>
        </w:rPr>
        <w:t xml:space="preserve"> per cent</w:t>
      </w:r>
      <w:r w:rsidR="003A4DC5" w:rsidRPr="00AB215D">
        <w:rPr>
          <w:sz w:val="20"/>
          <w:szCs w:val="20"/>
        </w:rPr>
        <w:t xml:space="preserve"> </w:t>
      </w:r>
      <w:r w:rsidR="00497FF4" w:rsidRPr="00AB215D">
        <w:rPr>
          <w:sz w:val="20"/>
          <w:szCs w:val="20"/>
        </w:rPr>
        <w:t xml:space="preserve">for the EU19 </w:t>
      </w:r>
      <w:r w:rsidR="003A4DC5" w:rsidRPr="00AB215D">
        <w:rPr>
          <w:sz w:val="20"/>
          <w:szCs w:val="20"/>
        </w:rPr>
        <w:t>and 2.9</w:t>
      </w:r>
      <w:r w:rsidR="00E76AB8">
        <w:rPr>
          <w:sz w:val="20"/>
          <w:szCs w:val="20"/>
        </w:rPr>
        <w:t xml:space="preserve"> per cent</w:t>
      </w:r>
      <w:r w:rsidR="00497FF4">
        <w:rPr>
          <w:sz w:val="20"/>
          <w:szCs w:val="20"/>
        </w:rPr>
        <w:t xml:space="preserve"> </w:t>
      </w:r>
      <w:r w:rsidR="00497FF4" w:rsidRPr="00AB215D">
        <w:rPr>
          <w:sz w:val="20"/>
          <w:szCs w:val="20"/>
        </w:rPr>
        <w:t>for the EU28</w:t>
      </w:r>
      <w:r w:rsidR="00497FF4">
        <w:rPr>
          <w:sz w:val="20"/>
          <w:szCs w:val="20"/>
        </w:rPr>
        <w:t>.</w:t>
      </w:r>
      <w:r w:rsidR="003A4DC5" w:rsidRPr="00AB215D">
        <w:rPr>
          <w:sz w:val="20"/>
          <w:szCs w:val="20"/>
        </w:rPr>
        <w:t xml:space="preserve"> </w:t>
      </w:r>
    </w:p>
    <w:p w14:paraId="3091FBFA" w14:textId="77777777" w:rsidR="0063437E" w:rsidRDefault="0063437E" w:rsidP="00AB215D">
      <w:pPr>
        <w:rPr>
          <w:sz w:val="20"/>
          <w:szCs w:val="20"/>
        </w:rPr>
      </w:pPr>
    </w:p>
    <w:p w14:paraId="77E985FF" w14:textId="260480B8" w:rsidR="007E0916" w:rsidRDefault="00A9382D" w:rsidP="008E47D7">
      <w:pPr>
        <w:pStyle w:val="DKMFigure"/>
        <w:keepNext/>
        <w:widowControl w:val="0"/>
        <w:spacing w:before="0" w:after="0"/>
      </w:pPr>
      <w:bookmarkStart w:id="33" w:name="_Toc478116714"/>
      <w:r w:rsidRPr="00AB215D">
        <w:t>General Government Fixed Investment (% of GDP, 2015)</w:t>
      </w:r>
      <w:r w:rsidRPr="00AB215D">
        <w:rPr>
          <w:rStyle w:val="FootnoteReference"/>
          <w:sz w:val="20"/>
          <w:szCs w:val="20"/>
        </w:rPr>
        <w:footnoteReference w:id="54"/>
      </w:r>
      <w:bookmarkEnd w:id="33"/>
    </w:p>
    <w:p w14:paraId="1252019B" w14:textId="73E93A66" w:rsidR="00A9382D" w:rsidRDefault="00A9382D" w:rsidP="00AB215D">
      <w:pPr>
        <w:rPr>
          <w:sz w:val="20"/>
          <w:szCs w:val="20"/>
        </w:rPr>
      </w:pPr>
      <w:r w:rsidRPr="00A9382D">
        <w:rPr>
          <w:noProof/>
        </w:rPr>
        <w:drawing>
          <wp:inline distT="0" distB="0" distL="0" distR="0" wp14:anchorId="55724018" wp14:editId="1E3FC3BD">
            <wp:extent cx="4850295" cy="22339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16442" cy="2264396"/>
                    </a:xfrm>
                    <a:prstGeom prst="rect">
                      <a:avLst/>
                    </a:prstGeom>
                  </pic:spPr>
                </pic:pic>
              </a:graphicData>
            </a:graphic>
          </wp:inline>
        </w:drawing>
      </w:r>
    </w:p>
    <w:p w14:paraId="7AE0640B" w14:textId="77777777" w:rsidR="00A9382D" w:rsidRPr="009D368D" w:rsidRDefault="00A9382D" w:rsidP="00A9382D">
      <w:pPr>
        <w:rPr>
          <w:sz w:val="18"/>
          <w:szCs w:val="18"/>
        </w:rPr>
      </w:pPr>
      <w:r w:rsidRPr="009D368D">
        <w:rPr>
          <w:sz w:val="18"/>
          <w:szCs w:val="18"/>
        </w:rPr>
        <w:t>Source: Eurostat</w:t>
      </w:r>
      <w:r w:rsidRPr="009D368D">
        <w:rPr>
          <w:rStyle w:val="FootnoteReference"/>
          <w:sz w:val="18"/>
          <w:szCs w:val="18"/>
        </w:rPr>
        <w:footnoteReference w:id="55"/>
      </w:r>
    </w:p>
    <w:p w14:paraId="7E0A5329" w14:textId="77777777" w:rsidR="009D368D" w:rsidRPr="00AB215D" w:rsidRDefault="009D368D" w:rsidP="00AB215D">
      <w:pPr>
        <w:rPr>
          <w:sz w:val="20"/>
          <w:szCs w:val="20"/>
        </w:rPr>
      </w:pPr>
    </w:p>
    <w:p w14:paraId="551B358C" w14:textId="10E1780D" w:rsidR="003A4DC5" w:rsidRPr="00AB215D" w:rsidRDefault="0063437E" w:rsidP="0063437E">
      <w:pPr>
        <w:autoSpaceDE w:val="0"/>
        <w:autoSpaceDN w:val="0"/>
        <w:adjustRightInd w:val="0"/>
        <w:rPr>
          <w:rFonts w:cs="HelveticaNeue-Light"/>
          <w:sz w:val="20"/>
          <w:szCs w:val="20"/>
        </w:rPr>
      </w:pPr>
      <w:r w:rsidRPr="0063437E">
        <w:rPr>
          <w:sz w:val="20"/>
          <w:szCs w:val="20"/>
        </w:rPr>
        <w:t>Notwithstanding the uncertainties with regard to Ireland’s GDP as a measure of economic output, Ireland spends the lowest amount on exchequer capital investment as a percentage of GDP</w:t>
      </w:r>
      <w:r>
        <w:rPr>
          <w:sz w:val="20"/>
          <w:szCs w:val="20"/>
        </w:rPr>
        <w:t>.</w:t>
      </w:r>
      <w:r w:rsidR="003A4DC5" w:rsidRPr="0063437E">
        <w:rPr>
          <w:sz w:val="20"/>
          <w:szCs w:val="20"/>
        </w:rPr>
        <w:t xml:space="preserve"> One option open to the </w:t>
      </w:r>
      <w:r w:rsidR="003A4DC5" w:rsidRPr="0063437E">
        <w:rPr>
          <w:rFonts w:cs="HelveticaNeue-Light"/>
          <w:sz w:val="20"/>
          <w:szCs w:val="20"/>
        </w:rPr>
        <w:t xml:space="preserve">Government to guarantee capital investment year-on-year would be legislate ex ante for </w:t>
      </w:r>
      <w:r w:rsidR="003A4DC5" w:rsidRPr="0063437E">
        <w:rPr>
          <w:rFonts w:cs="HelveticaNeue-Light"/>
          <w:b/>
          <w:sz w:val="20"/>
          <w:szCs w:val="20"/>
        </w:rPr>
        <w:t>public investment targets, as a ratio of GDP</w:t>
      </w:r>
      <w:r w:rsidR="003A4DC5" w:rsidRPr="00AB215D">
        <w:rPr>
          <w:rFonts w:cs="HelveticaNeue-Light"/>
          <w:sz w:val="20"/>
          <w:szCs w:val="20"/>
        </w:rPr>
        <w:t>. This would set in stone the rate of investment that the government would be obliged to meet over, for example, a 10 year period. It would also allow stakeholders to measure government progress against stated objectives. Alternatively, investment rate floors can be set so that investment</w:t>
      </w:r>
      <w:r w:rsidR="003A4DC5" w:rsidRPr="00AB215D">
        <w:rPr>
          <w:sz w:val="20"/>
          <w:szCs w:val="20"/>
        </w:rPr>
        <w:t xml:space="preserve"> does not fall below a certain level. This proposal has been made in the UK context.</w:t>
      </w:r>
      <w:r w:rsidR="003A4DC5" w:rsidRPr="00AB215D">
        <w:rPr>
          <w:rStyle w:val="FootnoteReference"/>
          <w:rFonts w:cs="Myriad Pro"/>
          <w:color w:val="000000"/>
          <w:sz w:val="20"/>
          <w:szCs w:val="20"/>
        </w:rPr>
        <w:footnoteReference w:id="56"/>
      </w:r>
      <w:r w:rsidR="003A4DC5" w:rsidRPr="00AB215D">
        <w:rPr>
          <w:rFonts w:cs="Myriad Pro"/>
          <w:color w:val="000000"/>
          <w:sz w:val="20"/>
          <w:szCs w:val="20"/>
        </w:rPr>
        <w:t xml:space="preserve"> In both of these cases, investment targets would provide the Oireachtas with a greater level of oversight and would </w:t>
      </w:r>
      <w:r w:rsidR="00A9382D">
        <w:rPr>
          <w:rFonts w:cs="Myriad Pro"/>
          <w:color w:val="000000"/>
          <w:sz w:val="20"/>
          <w:szCs w:val="20"/>
        </w:rPr>
        <w:t>imply</w:t>
      </w:r>
      <w:r w:rsidR="003A4DC5" w:rsidRPr="00AB215D">
        <w:rPr>
          <w:rFonts w:cs="Myriad Pro"/>
          <w:color w:val="000000"/>
          <w:sz w:val="20"/>
          <w:szCs w:val="20"/>
        </w:rPr>
        <w:t xml:space="preserve"> a greater level of accountability</w:t>
      </w:r>
      <w:r w:rsidR="00A9382D">
        <w:rPr>
          <w:rFonts w:cs="Myriad Pro"/>
          <w:color w:val="000000"/>
          <w:sz w:val="20"/>
          <w:szCs w:val="20"/>
        </w:rPr>
        <w:t xml:space="preserve"> by Government</w:t>
      </w:r>
      <w:r w:rsidR="003A4DC5" w:rsidRPr="00AB215D">
        <w:rPr>
          <w:rFonts w:cs="Myriad Pro"/>
          <w:color w:val="000000"/>
          <w:sz w:val="20"/>
          <w:szCs w:val="20"/>
        </w:rPr>
        <w:t xml:space="preserve">. </w:t>
      </w:r>
    </w:p>
    <w:p w14:paraId="0FE21DB8" w14:textId="77777777" w:rsidR="003A4DC5" w:rsidRPr="00AB215D" w:rsidRDefault="003A4DC5" w:rsidP="00C450D2">
      <w:pPr>
        <w:rPr>
          <w:sz w:val="20"/>
          <w:szCs w:val="20"/>
        </w:rPr>
      </w:pPr>
    </w:p>
    <w:p w14:paraId="709AD7DC" w14:textId="775EB4EC" w:rsidR="003A4DC5" w:rsidRDefault="003A4DC5" w:rsidP="008E47D7">
      <w:pPr>
        <w:pStyle w:val="DKMBodyText"/>
        <w:spacing w:line="260" w:lineRule="atLeast"/>
        <w:rPr>
          <w:rFonts w:asciiTheme="minorHAnsi" w:hAnsiTheme="minorHAnsi"/>
          <w:sz w:val="20"/>
          <w:szCs w:val="20"/>
        </w:rPr>
      </w:pPr>
      <w:r w:rsidRPr="00AB215D">
        <w:rPr>
          <w:rFonts w:asciiTheme="minorHAnsi" w:hAnsiTheme="minorHAnsi"/>
          <w:sz w:val="20"/>
          <w:szCs w:val="20"/>
        </w:rPr>
        <w:t xml:space="preserve">Although the quantum of capital expenditure is influenced by resource availability and Government priorities, fiscal rules can push states to fund capital expenditure off-balance sheet. </w:t>
      </w:r>
      <w:r w:rsidRPr="00513210">
        <w:rPr>
          <w:rFonts w:asciiTheme="minorHAnsi" w:hAnsiTheme="minorHAnsi"/>
          <w:sz w:val="20"/>
          <w:szCs w:val="20"/>
        </w:rPr>
        <w:t>This appears to be the case in Ireland.</w:t>
      </w:r>
      <w:r w:rsidRPr="00AB215D">
        <w:rPr>
          <w:rFonts w:asciiTheme="minorHAnsi" w:hAnsiTheme="minorHAnsi"/>
          <w:sz w:val="20"/>
          <w:szCs w:val="20"/>
        </w:rPr>
        <w:t xml:space="preserve"> In terms of the funding sources for total expenditure in 2017, 63</w:t>
      </w:r>
      <w:r w:rsidR="00A9382D">
        <w:rPr>
          <w:rFonts w:asciiTheme="minorHAnsi" w:hAnsiTheme="minorHAnsi"/>
          <w:sz w:val="20"/>
          <w:szCs w:val="20"/>
        </w:rPr>
        <w:t xml:space="preserve"> per cent</w:t>
      </w:r>
      <w:r w:rsidRPr="00AB215D">
        <w:rPr>
          <w:rFonts w:asciiTheme="minorHAnsi" w:hAnsiTheme="minorHAnsi"/>
          <w:sz w:val="20"/>
          <w:szCs w:val="20"/>
        </w:rPr>
        <w:t xml:space="preserve"> </w:t>
      </w:r>
      <w:r w:rsidR="00C47170">
        <w:rPr>
          <w:rFonts w:asciiTheme="minorHAnsi" w:hAnsiTheme="minorHAnsi"/>
          <w:sz w:val="20"/>
          <w:szCs w:val="20"/>
        </w:rPr>
        <w:t>is expected to</w:t>
      </w:r>
      <w:r w:rsidRPr="00AB215D">
        <w:rPr>
          <w:rFonts w:asciiTheme="minorHAnsi" w:hAnsiTheme="minorHAnsi"/>
          <w:sz w:val="20"/>
          <w:szCs w:val="20"/>
        </w:rPr>
        <w:t xml:space="preserve"> come from the Exchequer, 21</w:t>
      </w:r>
      <w:r w:rsidR="00A9382D">
        <w:rPr>
          <w:rFonts w:asciiTheme="minorHAnsi" w:hAnsiTheme="minorHAnsi"/>
          <w:sz w:val="20"/>
          <w:szCs w:val="20"/>
        </w:rPr>
        <w:t xml:space="preserve"> per cent</w:t>
      </w:r>
      <w:r w:rsidRPr="00AB215D">
        <w:rPr>
          <w:rFonts w:asciiTheme="minorHAnsi" w:hAnsiTheme="minorHAnsi"/>
          <w:sz w:val="20"/>
          <w:szCs w:val="20"/>
        </w:rPr>
        <w:t xml:space="preserve"> will be funded from the internal resources of semi-state</w:t>
      </w:r>
      <w:r w:rsidR="00C613D8">
        <w:rPr>
          <w:rFonts w:asciiTheme="minorHAnsi" w:hAnsiTheme="minorHAnsi"/>
          <w:sz w:val="20"/>
          <w:szCs w:val="20"/>
        </w:rPr>
        <w:t xml:space="preserve"> companie</w:t>
      </w:r>
      <w:r w:rsidRPr="00AB215D">
        <w:rPr>
          <w:rFonts w:asciiTheme="minorHAnsi" w:hAnsiTheme="minorHAnsi"/>
          <w:sz w:val="20"/>
          <w:szCs w:val="20"/>
        </w:rPr>
        <w:t>s</w:t>
      </w:r>
      <w:r w:rsidR="00C613D8">
        <w:rPr>
          <w:rFonts w:asciiTheme="minorHAnsi" w:hAnsiTheme="minorHAnsi"/>
          <w:sz w:val="20"/>
          <w:szCs w:val="20"/>
        </w:rPr>
        <w:t xml:space="preserve"> and local authorities</w:t>
      </w:r>
      <w:r w:rsidRPr="00AB215D">
        <w:rPr>
          <w:rFonts w:asciiTheme="minorHAnsi" w:hAnsiTheme="minorHAnsi"/>
          <w:sz w:val="20"/>
          <w:szCs w:val="20"/>
        </w:rPr>
        <w:t>, and 16</w:t>
      </w:r>
      <w:r w:rsidR="00A9382D">
        <w:rPr>
          <w:rFonts w:asciiTheme="minorHAnsi" w:hAnsiTheme="minorHAnsi"/>
          <w:sz w:val="20"/>
          <w:szCs w:val="20"/>
        </w:rPr>
        <w:t xml:space="preserve"> per cent</w:t>
      </w:r>
      <w:r w:rsidRPr="00AB215D">
        <w:rPr>
          <w:rFonts w:asciiTheme="minorHAnsi" w:hAnsiTheme="minorHAnsi"/>
          <w:sz w:val="20"/>
          <w:szCs w:val="20"/>
        </w:rPr>
        <w:t xml:space="preserve"> will be funded from external sources. A breakdown of this allocation is shown in </w:t>
      </w:r>
      <w:r w:rsidR="00A9382D">
        <w:rPr>
          <w:rFonts w:asciiTheme="minorHAnsi" w:hAnsiTheme="minorHAnsi"/>
          <w:sz w:val="20"/>
          <w:szCs w:val="20"/>
        </w:rPr>
        <w:t>T</w:t>
      </w:r>
      <w:r w:rsidRPr="00AB215D">
        <w:rPr>
          <w:rFonts w:asciiTheme="minorHAnsi" w:hAnsiTheme="minorHAnsi"/>
          <w:sz w:val="20"/>
          <w:szCs w:val="20"/>
        </w:rPr>
        <w:t xml:space="preserve">able </w:t>
      </w:r>
      <w:r w:rsidR="00A9382D">
        <w:rPr>
          <w:rFonts w:asciiTheme="minorHAnsi" w:hAnsiTheme="minorHAnsi"/>
          <w:sz w:val="20"/>
          <w:szCs w:val="20"/>
        </w:rPr>
        <w:t>3.</w:t>
      </w:r>
      <w:r w:rsidR="00C47170">
        <w:rPr>
          <w:rFonts w:asciiTheme="minorHAnsi" w:hAnsiTheme="minorHAnsi"/>
          <w:sz w:val="20"/>
          <w:szCs w:val="20"/>
        </w:rPr>
        <w:t>3</w:t>
      </w:r>
      <w:r w:rsidRPr="00AB215D">
        <w:rPr>
          <w:rFonts w:asciiTheme="minorHAnsi" w:hAnsiTheme="minorHAnsi"/>
          <w:sz w:val="20"/>
          <w:szCs w:val="20"/>
        </w:rPr>
        <w:t>. It is not clear to what extent capital investment in other countries is funded by non-</w:t>
      </w:r>
      <w:r w:rsidR="00A9382D">
        <w:rPr>
          <w:rFonts w:asciiTheme="minorHAnsi" w:hAnsiTheme="minorHAnsi"/>
          <w:sz w:val="20"/>
          <w:szCs w:val="20"/>
        </w:rPr>
        <w:t>E</w:t>
      </w:r>
      <w:r w:rsidRPr="00AB215D">
        <w:rPr>
          <w:rFonts w:asciiTheme="minorHAnsi" w:hAnsiTheme="minorHAnsi"/>
          <w:sz w:val="20"/>
          <w:szCs w:val="20"/>
        </w:rPr>
        <w:t xml:space="preserve">xchequer sources. </w:t>
      </w:r>
    </w:p>
    <w:p w14:paraId="7F57FFB7" w14:textId="40B8936E" w:rsidR="003A4DC5" w:rsidRPr="00C47170" w:rsidRDefault="003A4DC5" w:rsidP="008E47D7">
      <w:pPr>
        <w:pStyle w:val="DKMTable"/>
        <w:spacing w:line="240" w:lineRule="auto"/>
        <w:rPr>
          <w:sz w:val="20"/>
        </w:rPr>
      </w:pPr>
      <w:bookmarkStart w:id="34" w:name="_Toc478116721"/>
      <w:r w:rsidRPr="00C47170">
        <w:rPr>
          <w:sz w:val="20"/>
        </w:rPr>
        <w:t xml:space="preserve">Sources of Total Expenditure </w:t>
      </w:r>
      <w:r w:rsidR="00A9382D" w:rsidRPr="00C47170">
        <w:rPr>
          <w:sz w:val="20"/>
        </w:rPr>
        <w:t>in the Public Capital Programme</w:t>
      </w:r>
      <w:r w:rsidRPr="00C47170">
        <w:rPr>
          <w:sz w:val="20"/>
        </w:rPr>
        <w:t xml:space="preserve"> (2017, €m)</w:t>
      </w:r>
      <w:bookmarkEnd w:id="34"/>
    </w:p>
    <w:tbl>
      <w:tblPr>
        <w:tblStyle w:val="ColorfulList-Accent1"/>
        <w:tblW w:w="7336" w:type="dxa"/>
        <w:tblLook w:val="04A0" w:firstRow="1" w:lastRow="0" w:firstColumn="1" w:lastColumn="0" w:noHBand="0" w:noVBand="1"/>
      </w:tblPr>
      <w:tblGrid>
        <w:gridCol w:w="4091"/>
        <w:gridCol w:w="1689"/>
        <w:gridCol w:w="1556"/>
      </w:tblGrid>
      <w:tr w:rsidR="003A4DC5" w:rsidRPr="00346DCA" w14:paraId="347D3104" w14:textId="77777777" w:rsidTr="00AB215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91" w:type="dxa"/>
            <w:noWrap/>
            <w:hideMark/>
          </w:tcPr>
          <w:p w14:paraId="6DFA05CA" w14:textId="77777777" w:rsidR="003A4DC5" w:rsidRPr="00346DCA" w:rsidRDefault="003A4DC5" w:rsidP="003A4DC5">
            <w:pPr>
              <w:spacing w:line="276" w:lineRule="auto"/>
              <w:rPr>
                <w:rFonts w:eastAsia="Times New Roman" w:cs="Times New Roman"/>
                <w:bCs w:val="0"/>
                <w:color w:val="FFFFFF"/>
                <w:sz w:val="18"/>
                <w:szCs w:val="18"/>
              </w:rPr>
            </w:pPr>
            <w:r w:rsidRPr="00346DCA">
              <w:rPr>
                <w:rFonts w:eastAsia="Times New Roman" w:cs="Times New Roman"/>
                <w:bCs w:val="0"/>
                <w:color w:val="FFFFFF"/>
                <w:sz w:val="18"/>
                <w:szCs w:val="18"/>
              </w:rPr>
              <w:t>Source</w:t>
            </w:r>
          </w:p>
        </w:tc>
        <w:tc>
          <w:tcPr>
            <w:tcW w:w="1689" w:type="dxa"/>
            <w:noWrap/>
            <w:hideMark/>
          </w:tcPr>
          <w:p w14:paraId="2BBD0F65" w14:textId="77777777" w:rsidR="003A4DC5" w:rsidRPr="00346DCA" w:rsidRDefault="003A4DC5" w:rsidP="003A4DC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8"/>
                <w:szCs w:val="18"/>
              </w:rPr>
            </w:pPr>
            <w:r w:rsidRPr="00346DCA">
              <w:rPr>
                <w:rFonts w:eastAsia="Times New Roman" w:cs="Times New Roman"/>
                <w:bCs w:val="0"/>
                <w:color w:val="FFFFFF"/>
                <w:sz w:val="18"/>
                <w:szCs w:val="18"/>
              </w:rPr>
              <w:t>€m</w:t>
            </w:r>
          </w:p>
        </w:tc>
        <w:tc>
          <w:tcPr>
            <w:tcW w:w="1556" w:type="dxa"/>
            <w:noWrap/>
            <w:hideMark/>
          </w:tcPr>
          <w:p w14:paraId="0F0456A8" w14:textId="77777777" w:rsidR="003A4DC5" w:rsidRPr="00346DCA" w:rsidRDefault="003A4DC5" w:rsidP="003A4DC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FFFFFF"/>
                <w:sz w:val="18"/>
                <w:szCs w:val="18"/>
              </w:rPr>
            </w:pPr>
            <w:r w:rsidRPr="00346DCA">
              <w:rPr>
                <w:rFonts w:eastAsia="Times New Roman" w:cs="Times New Roman"/>
                <w:bCs w:val="0"/>
                <w:color w:val="FFFFFF"/>
                <w:sz w:val="18"/>
                <w:szCs w:val="18"/>
              </w:rPr>
              <w:t>%</w:t>
            </w:r>
          </w:p>
        </w:tc>
      </w:tr>
      <w:tr w:rsidR="003A4DC5" w:rsidRPr="00346DCA" w14:paraId="783050F8" w14:textId="77777777" w:rsidTr="00AB21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91" w:type="dxa"/>
            <w:noWrap/>
            <w:hideMark/>
          </w:tcPr>
          <w:p w14:paraId="41CE32F5" w14:textId="77777777" w:rsidR="003A4DC5" w:rsidRPr="00346DCA" w:rsidRDefault="003A4DC5" w:rsidP="003A4DC5">
            <w:pPr>
              <w:spacing w:line="276" w:lineRule="auto"/>
              <w:rPr>
                <w:rFonts w:eastAsia="Times New Roman" w:cs="Times New Roman"/>
                <w:color w:val="000000"/>
                <w:sz w:val="18"/>
                <w:szCs w:val="18"/>
              </w:rPr>
            </w:pPr>
            <w:r w:rsidRPr="00346DCA">
              <w:rPr>
                <w:rFonts w:eastAsia="Times New Roman" w:cs="Times New Roman"/>
                <w:color w:val="000000"/>
                <w:sz w:val="18"/>
                <w:szCs w:val="18"/>
              </w:rPr>
              <w:t>Exchequer: Voted &amp; Non-Voted</w:t>
            </w:r>
          </w:p>
        </w:tc>
        <w:tc>
          <w:tcPr>
            <w:tcW w:w="1689" w:type="dxa"/>
            <w:noWrap/>
            <w:hideMark/>
          </w:tcPr>
          <w:p w14:paraId="1E85A5F1"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4,821</w:t>
            </w:r>
          </w:p>
        </w:tc>
        <w:tc>
          <w:tcPr>
            <w:tcW w:w="1556" w:type="dxa"/>
            <w:noWrap/>
            <w:hideMark/>
          </w:tcPr>
          <w:p w14:paraId="083BC63A"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63</w:t>
            </w:r>
          </w:p>
        </w:tc>
      </w:tr>
      <w:tr w:rsidR="003A4DC5" w:rsidRPr="00346DCA" w14:paraId="4B95A602" w14:textId="77777777" w:rsidTr="00AB215D">
        <w:trPr>
          <w:trHeight w:val="170"/>
        </w:trPr>
        <w:tc>
          <w:tcPr>
            <w:cnfStyle w:val="001000000000" w:firstRow="0" w:lastRow="0" w:firstColumn="1" w:lastColumn="0" w:oddVBand="0" w:evenVBand="0" w:oddHBand="0" w:evenHBand="0" w:firstRowFirstColumn="0" w:firstRowLastColumn="0" w:lastRowFirstColumn="0" w:lastRowLastColumn="0"/>
            <w:tcW w:w="4091" w:type="dxa"/>
            <w:noWrap/>
            <w:hideMark/>
          </w:tcPr>
          <w:p w14:paraId="5E91D6A8" w14:textId="77777777" w:rsidR="00E7301B" w:rsidRDefault="003A4DC5" w:rsidP="003A4DC5">
            <w:pPr>
              <w:spacing w:line="276" w:lineRule="auto"/>
              <w:rPr>
                <w:rFonts w:eastAsia="Times New Roman" w:cs="Times New Roman"/>
                <w:color w:val="000000"/>
                <w:sz w:val="18"/>
                <w:szCs w:val="18"/>
              </w:rPr>
            </w:pPr>
            <w:r w:rsidRPr="00346DCA">
              <w:rPr>
                <w:rFonts w:eastAsia="Times New Roman" w:cs="Times New Roman"/>
                <w:color w:val="000000"/>
                <w:sz w:val="18"/>
                <w:szCs w:val="18"/>
              </w:rPr>
              <w:t>Semi-States: Internal Retained</w:t>
            </w:r>
          </w:p>
          <w:p w14:paraId="709F393F" w14:textId="34D9D43C" w:rsidR="003A4DC5" w:rsidRPr="00346DCA" w:rsidRDefault="00E7301B" w:rsidP="003A4DC5">
            <w:pPr>
              <w:spacing w:line="276" w:lineRule="auto"/>
              <w:rPr>
                <w:rFonts w:eastAsia="Times New Roman" w:cs="Times New Roman"/>
                <w:color w:val="000000"/>
                <w:sz w:val="18"/>
                <w:szCs w:val="18"/>
              </w:rPr>
            </w:pPr>
            <w:r>
              <w:rPr>
                <w:rFonts w:eastAsia="Times New Roman" w:cs="Times New Roman"/>
                <w:color w:val="000000"/>
                <w:sz w:val="18"/>
                <w:szCs w:val="18"/>
              </w:rPr>
              <w:t>(e.g. income, own resources)</w:t>
            </w:r>
          </w:p>
        </w:tc>
        <w:tc>
          <w:tcPr>
            <w:tcW w:w="1689" w:type="dxa"/>
            <w:noWrap/>
            <w:hideMark/>
          </w:tcPr>
          <w:p w14:paraId="2764092B"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1,609</w:t>
            </w:r>
          </w:p>
        </w:tc>
        <w:tc>
          <w:tcPr>
            <w:tcW w:w="1556" w:type="dxa"/>
            <w:noWrap/>
            <w:hideMark/>
          </w:tcPr>
          <w:p w14:paraId="43C08406"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21</w:t>
            </w:r>
          </w:p>
        </w:tc>
      </w:tr>
      <w:tr w:rsidR="003A4DC5" w:rsidRPr="00346DCA" w14:paraId="349CF7C7" w14:textId="77777777" w:rsidTr="00AB215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91" w:type="dxa"/>
            <w:noWrap/>
            <w:hideMark/>
          </w:tcPr>
          <w:p w14:paraId="4767A4D5" w14:textId="77777777" w:rsidR="00780B35" w:rsidRDefault="003A4DC5" w:rsidP="003A4DC5">
            <w:pPr>
              <w:spacing w:line="276" w:lineRule="auto"/>
              <w:rPr>
                <w:rFonts w:eastAsia="Times New Roman" w:cs="Times New Roman"/>
                <w:color w:val="000000"/>
                <w:sz w:val="18"/>
                <w:szCs w:val="18"/>
              </w:rPr>
            </w:pPr>
            <w:r w:rsidRPr="00346DCA">
              <w:rPr>
                <w:rFonts w:eastAsia="Times New Roman" w:cs="Times New Roman"/>
                <w:color w:val="000000"/>
                <w:sz w:val="18"/>
                <w:szCs w:val="18"/>
              </w:rPr>
              <w:t>Semi-States: Externally Funded</w:t>
            </w:r>
          </w:p>
          <w:p w14:paraId="470E6DAC" w14:textId="27414D1E" w:rsidR="003A4DC5" w:rsidRPr="00346DCA" w:rsidRDefault="00E7301B" w:rsidP="00C47170">
            <w:pPr>
              <w:spacing w:line="276" w:lineRule="auto"/>
              <w:rPr>
                <w:rFonts w:eastAsia="Times New Roman" w:cs="Times New Roman"/>
                <w:color w:val="000000"/>
                <w:sz w:val="18"/>
                <w:szCs w:val="18"/>
              </w:rPr>
            </w:pPr>
            <w:r>
              <w:rPr>
                <w:rFonts w:eastAsia="Times New Roman" w:cs="Times New Roman"/>
                <w:color w:val="000000"/>
                <w:sz w:val="18"/>
                <w:szCs w:val="18"/>
              </w:rPr>
              <w:t xml:space="preserve">(e.g. borrowing, EU </w:t>
            </w:r>
            <w:r w:rsidR="00C47170">
              <w:rPr>
                <w:rFonts w:eastAsia="Times New Roman" w:cs="Times New Roman"/>
                <w:color w:val="000000"/>
                <w:sz w:val="18"/>
                <w:szCs w:val="18"/>
              </w:rPr>
              <w:t>r</w:t>
            </w:r>
            <w:r>
              <w:rPr>
                <w:rFonts w:eastAsia="Times New Roman" w:cs="Times New Roman"/>
                <w:color w:val="000000"/>
                <w:sz w:val="18"/>
                <w:szCs w:val="18"/>
              </w:rPr>
              <w:t>eceipts)</w:t>
            </w:r>
          </w:p>
        </w:tc>
        <w:tc>
          <w:tcPr>
            <w:tcW w:w="1689" w:type="dxa"/>
            <w:noWrap/>
            <w:hideMark/>
          </w:tcPr>
          <w:p w14:paraId="0F923C40"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1,206</w:t>
            </w:r>
          </w:p>
        </w:tc>
        <w:tc>
          <w:tcPr>
            <w:tcW w:w="1556" w:type="dxa"/>
            <w:noWrap/>
            <w:hideMark/>
          </w:tcPr>
          <w:p w14:paraId="781E11C7"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16</w:t>
            </w:r>
          </w:p>
        </w:tc>
      </w:tr>
      <w:tr w:rsidR="003A4DC5" w:rsidRPr="00780B35" w14:paraId="2BF65760" w14:textId="77777777" w:rsidTr="00AB215D">
        <w:trPr>
          <w:trHeight w:val="170"/>
        </w:trPr>
        <w:tc>
          <w:tcPr>
            <w:cnfStyle w:val="001000000000" w:firstRow="0" w:lastRow="0" w:firstColumn="1" w:lastColumn="0" w:oddVBand="0" w:evenVBand="0" w:oddHBand="0" w:evenHBand="0" w:firstRowFirstColumn="0" w:firstRowLastColumn="0" w:lastRowFirstColumn="0" w:lastRowLastColumn="0"/>
            <w:tcW w:w="4091" w:type="dxa"/>
            <w:noWrap/>
            <w:hideMark/>
          </w:tcPr>
          <w:p w14:paraId="04DA6A22" w14:textId="77777777" w:rsidR="003A4DC5" w:rsidRPr="00780B35" w:rsidRDefault="003A4DC5" w:rsidP="003A4DC5">
            <w:pPr>
              <w:spacing w:line="276" w:lineRule="auto"/>
              <w:rPr>
                <w:rFonts w:eastAsia="Times New Roman" w:cs="Times New Roman"/>
                <w:b/>
                <w:color w:val="000000"/>
                <w:sz w:val="18"/>
                <w:szCs w:val="18"/>
              </w:rPr>
            </w:pPr>
            <w:r w:rsidRPr="00780B35">
              <w:rPr>
                <w:rFonts w:eastAsia="Times New Roman" w:cs="Times New Roman"/>
                <w:b/>
                <w:color w:val="000000"/>
                <w:sz w:val="18"/>
                <w:szCs w:val="18"/>
              </w:rPr>
              <w:t>Grand Total</w:t>
            </w:r>
          </w:p>
        </w:tc>
        <w:tc>
          <w:tcPr>
            <w:tcW w:w="1689" w:type="dxa"/>
            <w:noWrap/>
            <w:hideMark/>
          </w:tcPr>
          <w:p w14:paraId="4A264FDA" w14:textId="77777777" w:rsidR="003A4DC5" w:rsidRPr="00780B35"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rPr>
            </w:pPr>
            <w:r w:rsidRPr="00780B35">
              <w:rPr>
                <w:rFonts w:eastAsia="Times New Roman" w:cs="Times New Roman"/>
                <w:b/>
                <w:color w:val="000000"/>
                <w:sz w:val="18"/>
                <w:szCs w:val="18"/>
              </w:rPr>
              <w:t>7,636</w:t>
            </w:r>
          </w:p>
        </w:tc>
        <w:tc>
          <w:tcPr>
            <w:tcW w:w="1556" w:type="dxa"/>
            <w:noWrap/>
            <w:hideMark/>
          </w:tcPr>
          <w:p w14:paraId="3AD22C32" w14:textId="77777777" w:rsidR="003A4DC5" w:rsidRPr="00780B35"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rPr>
            </w:pPr>
            <w:r w:rsidRPr="00780B35">
              <w:rPr>
                <w:rFonts w:eastAsia="Times New Roman" w:cs="Times New Roman"/>
                <w:b/>
                <w:color w:val="000000"/>
                <w:sz w:val="18"/>
                <w:szCs w:val="18"/>
              </w:rPr>
              <w:t>100</w:t>
            </w:r>
          </w:p>
        </w:tc>
      </w:tr>
    </w:tbl>
    <w:p w14:paraId="2482D638" w14:textId="6704182E" w:rsidR="003A4DC5" w:rsidRPr="00AB215D" w:rsidRDefault="003A4DC5" w:rsidP="003A4DC5">
      <w:pPr>
        <w:autoSpaceDE w:val="0"/>
        <w:autoSpaceDN w:val="0"/>
        <w:adjustRightInd w:val="0"/>
        <w:spacing w:line="276" w:lineRule="auto"/>
        <w:rPr>
          <w:rFonts w:cs="HelveticaNeue-Light"/>
          <w:sz w:val="18"/>
          <w:szCs w:val="18"/>
        </w:rPr>
      </w:pPr>
      <w:r w:rsidRPr="00AB215D">
        <w:rPr>
          <w:rFonts w:cs="HelveticaNeue-Light"/>
          <w:sz w:val="18"/>
          <w:szCs w:val="18"/>
        </w:rPr>
        <w:t>Source: Revised Estimates</w:t>
      </w:r>
      <w:r w:rsidR="00780B35">
        <w:rPr>
          <w:rFonts w:cs="HelveticaNeue-Light"/>
          <w:sz w:val="18"/>
          <w:szCs w:val="18"/>
        </w:rPr>
        <w:t xml:space="preserve"> for Public Services</w:t>
      </w:r>
      <w:r w:rsidRPr="00AB215D">
        <w:rPr>
          <w:rFonts w:cs="HelveticaNeue-Light"/>
          <w:sz w:val="18"/>
          <w:szCs w:val="18"/>
        </w:rPr>
        <w:t xml:space="preserve"> 2017</w:t>
      </w:r>
      <w:r w:rsidR="00780B35">
        <w:rPr>
          <w:rFonts w:cs="HelveticaNeue-Light"/>
          <w:sz w:val="18"/>
          <w:szCs w:val="18"/>
        </w:rPr>
        <w:t>.</w:t>
      </w:r>
    </w:p>
    <w:p w14:paraId="43FB9E82" w14:textId="77777777" w:rsidR="00E21E20" w:rsidRDefault="00E21E20" w:rsidP="00AB215D">
      <w:pPr>
        <w:pStyle w:val="DKMBodyText"/>
        <w:rPr>
          <w:rFonts w:asciiTheme="minorHAnsi" w:hAnsiTheme="minorHAnsi"/>
          <w:sz w:val="20"/>
          <w:szCs w:val="20"/>
        </w:rPr>
      </w:pPr>
    </w:p>
    <w:p w14:paraId="00DAC0C0" w14:textId="3B2EFF03" w:rsidR="003A4DC5" w:rsidRPr="00AB215D" w:rsidRDefault="008766F7" w:rsidP="00AB215D">
      <w:pPr>
        <w:pStyle w:val="DKMBodyText"/>
        <w:rPr>
          <w:rFonts w:asciiTheme="minorHAnsi" w:hAnsiTheme="minorHAnsi"/>
          <w:sz w:val="20"/>
          <w:szCs w:val="20"/>
        </w:rPr>
      </w:pPr>
      <w:r>
        <w:rPr>
          <w:rFonts w:asciiTheme="minorHAnsi" w:hAnsiTheme="minorHAnsi"/>
          <w:sz w:val="20"/>
          <w:szCs w:val="20"/>
        </w:rPr>
        <w:t>T</w:t>
      </w:r>
      <w:r w:rsidR="003A4DC5" w:rsidRPr="00AB215D">
        <w:rPr>
          <w:rFonts w:asciiTheme="minorHAnsi" w:hAnsiTheme="minorHAnsi"/>
          <w:sz w:val="20"/>
          <w:szCs w:val="20"/>
        </w:rPr>
        <w:t xml:space="preserve">he </w:t>
      </w:r>
      <w:r>
        <w:rPr>
          <w:rFonts w:asciiTheme="minorHAnsi" w:hAnsiTheme="minorHAnsi"/>
          <w:sz w:val="20"/>
          <w:szCs w:val="20"/>
        </w:rPr>
        <w:t xml:space="preserve">specific </w:t>
      </w:r>
      <w:r w:rsidR="003A4DC5" w:rsidRPr="00AB215D">
        <w:rPr>
          <w:rFonts w:asciiTheme="minorHAnsi" w:hAnsiTheme="minorHAnsi"/>
          <w:sz w:val="20"/>
          <w:szCs w:val="20"/>
        </w:rPr>
        <w:t>allocation</w:t>
      </w:r>
      <w:r w:rsidR="00FE0538">
        <w:rPr>
          <w:rFonts w:asciiTheme="minorHAnsi" w:hAnsiTheme="minorHAnsi"/>
          <w:sz w:val="20"/>
          <w:szCs w:val="20"/>
        </w:rPr>
        <w:t>s</w:t>
      </w:r>
      <w:r w:rsidR="003A4DC5" w:rsidRPr="00AB215D">
        <w:rPr>
          <w:rFonts w:asciiTheme="minorHAnsi" w:hAnsiTheme="minorHAnsi"/>
          <w:sz w:val="20"/>
          <w:szCs w:val="20"/>
        </w:rPr>
        <w:t xml:space="preserve"> of voted capital expenditure across a number of core </w:t>
      </w:r>
      <w:r w:rsidR="00FE0538">
        <w:rPr>
          <w:rFonts w:asciiTheme="minorHAnsi" w:hAnsiTheme="minorHAnsi"/>
          <w:sz w:val="20"/>
          <w:szCs w:val="20"/>
        </w:rPr>
        <w:t xml:space="preserve">infrastructure spending </w:t>
      </w:r>
      <w:r w:rsidR="003A4DC5" w:rsidRPr="00AB215D">
        <w:rPr>
          <w:rFonts w:asciiTheme="minorHAnsi" w:hAnsiTheme="minorHAnsi"/>
          <w:sz w:val="20"/>
          <w:szCs w:val="20"/>
        </w:rPr>
        <w:t>departments</w:t>
      </w:r>
      <w:r w:rsidR="00FE0538">
        <w:rPr>
          <w:rFonts w:asciiTheme="minorHAnsi" w:hAnsiTheme="minorHAnsi"/>
          <w:sz w:val="20"/>
          <w:szCs w:val="20"/>
        </w:rPr>
        <w:t xml:space="preserve"> are set out below</w:t>
      </w:r>
      <w:r w:rsidR="003A4DC5" w:rsidRPr="00AB215D">
        <w:rPr>
          <w:rFonts w:asciiTheme="minorHAnsi" w:hAnsiTheme="minorHAnsi"/>
          <w:sz w:val="20"/>
          <w:szCs w:val="20"/>
        </w:rPr>
        <w:t xml:space="preserve">. </w:t>
      </w:r>
    </w:p>
    <w:p w14:paraId="3099977C" w14:textId="77777777" w:rsidR="008D7165" w:rsidRPr="00AB215D" w:rsidRDefault="008D7165" w:rsidP="00AB215D">
      <w:pPr>
        <w:pStyle w:val="DKMBodyText"/>
        <w:rPr>
          <w:rFonts w:asciiTheme="minorHAnsi" w:hAnsiTheme="minorHAnsi"/>
          <w:sz w:val="20"/>
          <w:szCs w:val="20"/>
        </w:rPr>
      </w:pPr>
    </w:p>
    <w:p w14:paraId="43D85971" w14:textId="77777777" w:rsidR="003A4DC5" w:rsidRPr="009D368D" w:rsidRDefault="003A4DC5" w:rsidP="00AB215D">
      <w:pPr>
        <w:pStyle w:val="DKMBodyText"/>
        <w:rPr>
          <w:rFonts w:asciiTheme="minorHAnsi" w:hAnsiTheme="minorHAnsi"/>
          <w:b/>
          <w:color w:val="005596"/>
          <w:sz w:val="20"/>
          <w:szCs w:val="20"/>
        </w:rPr>
      </w:pPr>
      <w:r w:rsidRPr="009D368D">
        <w:rPr>
          <w:rFonts w:asciiTheme="minorHAnsi" w:hAnsiTheme="minorHAnsi"/>
          <w:b/>
          <w:color w:val="005596"/>
          <w:sz w:val="20"/>
          <w:szCs w:val="20"/>
        </w:rPr>
        <w:t>Education</w:t>
      </w:r>
    </w:p>
    <w:p w14:paraId="5DEC0FBA" w14:textId="112F0D9C" w:rsidR="003A4DC5" w:rsidRDefault="00957FE5" w:rsidP="00AB215D">
      <w:pPr>
        <w:pStyle w:val="DKMBodyText"/>
        <w:rPr>
          <w:rFonts w:asciiTheme="minorHAnsi" w:hAnsiTheme="minorHAnsi"/>
          <w:sz w:val="20"/>
          <w:szCs w:val="20"/>
        </w:rPr>
      </w:pPr>
      <w:r>
        <w:rPr>
          <w:rFonts w:asciiTheme="minorHAnsi" w:hAnsiTheme="minorHAnsi"/>
          <w:sz w:val="20"/>
          <w:szCs w:val="20"/>
        </w:rPr>
        <w:t xml:space="preserve">The </w:t>
      </w:r>
      <w:r w:rsidR="008A1804">
        <w:rPr>
          <w:rFonts w:asciiTheme="minorHAnsi" w:hAnsiTheme="minorHAnsi"/>
          <w:sz w:val="20"/>
          <w:szCs w:val="20"/>
        </w:rPr>
        <w:t xml:space="preserve">total allocation for Education in the Capital Plan </w:t>
      </w:r>
      <w:r w:rsidR="004360F5">
        <w:rPr>
          <w:rFonts w:asciiTheme="minorHAnsi" w:hAnsiTheme="minorHAnsi"/>
          <w:sz w:val="20"/>
          <w:szCs w:val="20"/>
        </w:rPr>
        <w:t>i</w:t>
      </w:r>
      <w:r w:rsidR="008A1804">
        <w:rPr>
          <w:rFonts w:asciiTheme="minorHAnsi" w:hAnsiTheme="minorHAnsi"/>
          <w:sz w:val="20"/>
          <w:szCs w:val="20"/>
        </w:rPr>
        <w:t>s €3.82</w:t>
      </w:r>
      <w:r w:rsidR="004360F5">
        <w:rPr>
          <w:rFonts w:asciiTheme="minorHAnsi" w:hAnsiTheme="minorHAnsi"/>
          <w:sz w:val="20"/>
          <w:szCs w:val="20"/>
        </w:rPr>
        <w:t xml:space="preserve"> billion</w:t>
      </w:r>
      <w:r w:rsidR="008A1804">
        <w:rPr>
          <w:rFonts w:asciiTheme="minorHAnsi" w:hAnsiTheme="minorHAnsi"/>
          <w:sz w:val="20"/>
          <w:szCs w:val="20"/>
        </w:rPr>
        <w:t xml:space="preserve"> over the period 2016-2021. Looking at the next three years, t</w:t>
      </w:r>
      <w:r w:rsidR="003A4DC5" w:rsidRPr="00AB215D">
        <w:rPr>
          <w:rFonts w:asciiTheme="minorHAnsi" w:hAnsiTheme="minorHAnsi"/>
          <w:sz w:val="20"/>
          <w:szCs w:val="20"/>
        </w:rPr>
        <w:t>he Capital Plan allocated €599</w:t>
      </w:r>
      <w:r w:rsidR="004360F5">
        <w:rPr>
          <w:rFonts w:asciiTheme="minorHAnsi" w:hAnsiTheme="minorHAnsi"/>
          <w:sz w:val="20"/>
          <w:szCs w:val="20"/>
        </w:rPr>
        <w:t xml:space="preserve"> million</w:t>
      </w:r>
      <w:r w:rsidR="003A4DC5" w:rsidRPr="00AB215D">
        <w:rPr>
          <w:rFonts w:asciiTheme="minorHAnsi" w:hAnsiTheme="minorHAnsi"/>
          <w:sz w:val="20"/>
          <w:szCs w:val="20"/>
        </w:rPr>
        <w:t xml:space="preserve"> to the Department of Education and Skills for 2017, €623</w:t>
      </w:r>
      <w:r w:rsidR="004360F5">
        <w:rPr>
          <w:rFonts w:asciiTheme="minorHAnsi" w:hAnsiTheme="minorHAnsi"/>
          <w:sz w:val="20"/>
          <w:szCs w:val="20"/>
        </w:rPr>
        <w:t xml:space="preserve"> million</w:t>
      </w:r>
      <w:r w:rsidR="003A4DC5" w:rsidRPr="00AB215D">
        <w:rPr>
          <w:rFonts w:asciiTheme="minorHAnsi" w:hAnsiTheme="minorHAnsi"/>
          <w:sz w:val="20"/>
          <w:szCs w:val="20"/>
        </w:rPr>
        <w:t xml:space="preserve"> for 2018, and €654</w:t>
      </w:r>
      <w:r w:rsidR="004360F5">
        <w:rPr>
          <w:rFonts w:asciiTheme="minorHAnsi" w:hAnsiTheme="minorHAnsi"/>
          <w:sz w:val="20"/>
          <w:szCs w:val="20"/>
        </w:rPr>
        <w:t xml:space="preserve"> million</w:t>
      </w:r>
      <w:r w:rsidR="003A4DC5" w:rsidRPr="00AB215D">
        <w:rPr>
          <w:rFonts w:asciiTheme="minorHAnsi" w:hAnsiTheme="minorHAnsi"/>
          <w:sz w:val="20"/>
          <w:szCs w:val="20"/>
        </w:rPr>
        <w:t xml:space="preserve"> for 2019. Based on Budget 2017, there would be €690</w:t>
      </w:r>
      <w:r w:rsidR="004360F5">
        <w:rPr>
          <w:rFonts w:asciiTheme="minorHAnsi" w:hAnsiTheme="minorHAnsi"/>
          <w:sz w:val="20"/>
          <w:szCs w:val="20"/>
        </w:rPr>
        <w:t xml:space="preserve"> million</w:t>
      </w:r>
      <w:r w:rsidR="003A4DC5" w:rsidRPr="00AB215D">
        <w:rPr>
          <w:rFonts w:asciiTheme="minorHAnsi" w:hAnsiTheme="minorHAnsi"/>
          <w:sz w:val="20"/>
          <w:szCs w:val="20"/>
        </w:rPr>
        <w:t xml:space="preserve"> available to the Department in 2017, €715</w:t>
      </w:r>
      <w:r w:rsidR="004360F5">
        <w:rPr>
          <w:rFonts w:asciiTheme="minorHAnsi" w:hAnsiTheme="minorHAnsi"/>
          <w:sz w:val="20"/>
          <w:szCs w:val="20"/>
        </w:rPr>
        <w:t xml:space="preserve"> million</w:t>
      </w:r>
      <w:r w:rsidR="003A4DC5" w:rsidRPr="00AB215D">
        <w:rPr>
          <w:rFonts w:asciiTheme="minorHAnsi" w:hAnsiTheme="minorHAnsi"/>
          <w:sz w:val="20"/>
          <w:szCs w:val="20"/>
        </w:rPr>
        <w:t xml:space="preserve"> in 2018, and €746</w:t>
      </w:r>
      <w:r w:rsidR="004360F5">
        <w:rPr>
          <w:rFonts w:asciiTheme="minorHAnsi" w:hAnsiTheme="minorHAnsi"/>
          <w:sz w:val="20"/>
          <w:szCs w:val="20"/>
        </w:rPr>
        <w:t xml:space="preserve"> million</w:t>
      </w:r>
      <w:r w:rsidR="003A4DC5" w:rsidRPr="00AB215D">
        <w:rPr>
          <w:rFonts w:asciiTheme="minorHAnsi" w:hAnsiTheme="minorHAnsi"/>
          <w:sz w:val="20"/>
          <w:szCs w:val="20"/>
        </w:rPr>
        <w:t xml:space="preserve"> in 2019. The Revised Estimates increased the allocations for the respective years marginally. Altogether, an additional €185</w:t>
      </w:r>
      <w:r w:rsidR="004360F5">
        <w:rPr>
          <w:rFonts w:asciiTheme="minorHAnsi" w:hAnsiTheme="minorHAnsi"/>
          <w:sz w:val="20"/>
          <w:szCs w:val="20"/>
        </w:rPr>
        <w:t xml:space="preserve"> million</w:t>
      </w:r>
      <w:r w:rsidR="003A4DC5" w:rsidRPr="00AB215D">
        <w:rPr>
          <w:rFonts w:asciiTheme="minorHAnsi" w:hAnsiTheme="minorHAnsi"/>
          <w:sz w:val="20"/>
          <w:szCs w:val="20"/>
        </w:rPr>
        <w:t xml:space="preserve"> has been allocated to the Department since the Capital Plan was published in 2015.</w:t>
      </w:r>
    </w:p>
    <w:p w14:paraId="44243DF1" w14:textId="77777777" w:rsidR="003A4DC5" w:rsidRPr="00346DCA" w:rsidRDefault="003A4DC5" w:rsidP="003A4DC5">
      <w:pPr>
        <w:pStyle w:val="DKMTable"/>
        <w:spacing w:line="276" w:lineRule="auto"/>
      </w:pPr>
      <w:bookmarkStart w:id="35" w:name="_Toc478116722"/>
      <w:r w:rsidRPr="00346DCA">
        <w:t>Department of Education &amp; Skills: Voted Capital Expenditure (€m)</w:t>
      </w:r>
      <w:bookmarkEnd w:id="35"/>
    </w:p>
    <w:tbl>
      <w:tblPr>
        <w:tblStyle w:val="ColorfulList-Accent1"/>
        <w:tblW w:w="7231" w:type="dxa"/>
        <w:tblLook w:val="04A0" w:firstRow="1" w:lastRow="0" w:firstColumn="1" w:lastColumn="0" w:noHBand="0" w:noVBand="1"/>
      </w:tblPr>
      <w:tblGrid>
        <w:gridCol w:w="2734"/>
        <w:gridCol w:w="1499"/>
        <w:gridCol w:w="1499"/>
        <w:gridCol w:w="1499"/>
      </w:tblGrid>
      <w:tr w:rsidR="003A4DC5" w:rsidRPr="00346DCA" w14:paraId="094D5666" w14:textId="77777777" w:rsidTr="003A4DC5">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734" w:type="dxa"/>
            <w:noWrap/>
            <w:hideMark/>
          </w:tcPr>
          <w:p w14:paraId="3D692B8E" w14:textId="77777777" w:rsidR="003A4DC5" w:rsidRPr="00346DCA" w:rsidRDefault="003A4DC5" w:rsidP="003A4DC5">
            <w:pPr>
              <w:spacing w:line="276" w:lineRule="auto"/>
              <w:jc w:val="left"/>
              <w:rPr>
                <w:rFonts w:eastAsia="Times New Roman" w:cs="Times New Roman"/>
                <w:b w:val="0"/>
                <w:color w:val="FFFFFF"/>
                <w:sz w:val="18"/>
                <w:szCs w:val="20"/>
              </w:rPr>
            </w:pPr>
          </w:p>
        </w:tc>
        <w:tc>
          <w:tcPr>
            <w:tcW w:w="1499" w:type="dxa"/>
            <w:noWrap/>
            <w:hideMark/>
          </w:tcPr>
          <w:p w14:paraId="06B8BABC" w14:textId="77777777" w:rsidR="003A4DC5" w:rsidRPr="00346DCA" w:rsidRDefault="003A4DC5" w:rsidP="003A4DC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20"/>
              </w:rPr>
            </w:pPr>
            <w:r w:rsidRPr="00346DCA">
              <w:rPr>
                <w:rFonts w:eastAsia="Times New Roman" w:cs="Times New Roman"/>
                <w:color w:val="FFFFFF"/>
                <w:sz w:val="18"/>
                <w:szCs w:val="20"/>
              </w:rPr>
              <w:t>2017</w:t>
            </w:r>
          </w:p>
        </w:tc>
        <w:tc>
          <w:tcPr>
            <w:tcW w:w="1499" w:type="dxa"/>
            <w:noWrap/>
            <w:hideMark/>
          </w:tcPr>
          <w:p w14:paraId="77E07118" w14:textId="77777777" w:rsidR="003A4DC5" w:rsidRPr="00346DCA" w:rsidRDefault="003A4DC5" w:rsidP="003A4DC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20"/>
              </w:rPr>
            </w:pPr>
            <w:r w:rsidRPr="00346DCA">
              <w:rPr>
                <w:rFonts w:eastAsia="Times New Roman" w:cs="Times New Roman"/>
                <w:color w:val="FFFFFF"/>
                <w:sz w:val="18"/>
                <w:szCs w:val="20"/>
              </w:rPr>
              <w:t>2018</w:t>
            </w:r>
          </w:p>
        </w:tc>
        <w:tc>
          <w:tcPr>
            <w:tcW w:w="1499" w:type="dxa"/>
            <w:noWrap/>
            <w:hideMark/>
          </w:tcPr>
          <w:p w14:paraId="785FABC3" w14:textId="77777777" w:rsidR="003A4DC5" w:rsidRPr="00346DCA" w:rsidRDefault="003A4DC5" w:rsidP="003A4DC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20"/>
              </w:rPr>
            </w:pPr>
            <w:r w:rsidRPr="00346DCA">
              <w:rPr>
                <w:rFonts w:eastAsia="Times New Roman" w:cs="Times New Roman"/>
                <w:color w:val="FFFFFF"/>
                <w:sz w:val="18"/>
                <w:szCs w:val="20"/>
              </w:rPr>
              <w:t>2019</w:t>
            </w:r>
          </w:p>
        </w:tc>
      </w:tr>
      <w:tr w:rsidR="003A4DC5" w:rsidRPr="00346DCA" w14:paraId="36EFA29E" w14:textId="77777777" w:rsidTr="003A4DC5">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734" w:type="dxa"/>
            <w:noWrap/>
            <w:hideMark/>
          </w:tcPr>
          <w:p w14:paraId="76F83296" w14:textId="77777777" w:rsidR="003A4DC5" w:rsidRPr="00346DCA" w:rsidRDefault="003A4DC5" w:rsidP="003A4DC5">
            <w:pPr>
              <w:spacing w:line="276" w:lineRule="auto"/>
              <w:jc w:val="left"/>
              <w:rPr>
                <w:rFonts w:eastAsia="Times New Roman" w:cs="Times New Roman"/>
                <w:color w:val="000000"/>
                <w:sz w:val="18"/>
                <w:szCs w:val="20"/>
              </w:rPr>
            </w:pPr>
            <w:r w:rsidRPr="00346DCA">
              <w:rPr>
                <w:rFonts w:eastAsia="Times New Roman" w:cs="Times New Roman"/>
                <w:color w:val="000000"/>
                <w:sz w:val="18"/>
                <w:szCs w:val="20"/>
              </w:rPr>
              <w:t>Capital Plan</w:t>
            </w:r>
          </w:p>
        </w:tc>
        <w:tc>
          <w:tcPr>
            <w:tcW w:w="1499" w:type="dxa"/>
            <w:noWrap/>
            <w:hideMark/>
          </w:tcPr>
          <w:p w14:paraId="2AB992CA"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346DCA">
              <w:rPr>
                <w:rFonts w:eastAsia="Times New Roman" w:cs="Times New Roman"/>
                <w:color w:val="000000"/>
                <w:sz w:val="18"/>
                <w:szCs w:val="20"/>
              </w:rPr>
              <w:t>599</w:t>
            </w:r>
          </w:p>
        </w:tc>
        <w:tc>
          <w:tcPr>
            <w:tcW w:w="1499" w:type="dxa"/>
            <w:noWrap/>
            <w:hideMark/>
          </w:tcPr>
          <w:p w14:paraId="2C41113F"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346DCA">
              <w:rPr>
                <w:rFonts w:eastAsia="Times New Roman" w:cs="Times New Roman"/>
                <w:color w:val="000000"/>
                <w:sz w:val="18"/>
                <w:szCs w:val="20"/>
              </w:rPr>
              <w:t>623</w:t>
            </w:r>
          </w:p>
        </w:tc>
        <w:tc>
          <w:tcPr>
            <w:tcW w:w="1499" w:type="dxa"/>
            <w:noWrap/>
            <w:hideMark/>
          </w:tcPr>
          <w:p w14:paraId="573F6AC3"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346DCA">
              <w:rPr>
                <w:rFonts w:eastAsia="Times New Roman" w:cs="Times New Roman"/>
                <w:color w:val="000000"/>
                <w:sz w:val="18"/>
                <w:szCs w:val="20"/>
              </w:rPr>
              <w:t>654</w:t>
            </w:r>
          </w:p>
        </w:tc>
      </w:tr>
      <w:tr w:rsidR="003A4DC5" w:rsidRPr="00346DCA" w14:paraId="00E8FEB1" w14:textId="77777777" w:rsidTr="003A4DC5">
        <w:trPr>
          <w:trHeight w:val="166"/>
        </w:trPr>
        <w:tc>
          <w:tcPr>
            <w:cnfStyle w:val="001000000000" w:firstRow="0" w:lastRow="0" w:firstColumn="1" w:lastColumn="0" w:oddVBand="0" w:evenVBand="0" w:oddHBand="0" w:evenHBand="0" w:firstRowFirstColumn="0" w:firstRowLastColumn="0" w:lastRowFirstColumn="0" w:lastRowLastColumn="0"/>
            <w:tcW w:w="2734" w:type="dxa"/>
            <w:noWrap/>
            <w:hideMark/>
          </w:tcPr>
          <w:p w14:paraId="223E50D5" w14:textId="77777777" w:rsidR="003A4DC5" w:rsidRPr="00346DCA" w:rsidRDefault="003A4DC5" w:rsidP="003A4DC5">
            <w:pPr>
              <w:spacing w:line="276" w:lineRule="auto"/>
              <w:jc w:val="left"/>
              <w:rPr>
                <w:rFonts w:eastAsia="Times New Roman" w:cs="Times New Roman"/>
                <w:color w:val="000000"/>
                <w:sz w:val="18"/>
                <w:szCs w:val="20"/>
              </w:rPr>
            </w:pPr>
            <w:r w:rsidRPr="00346DCA">
              <w:rPr>
                <w:rFonts w:eastAsia="Times New Roman" w:cs="Times New Roman"/>
                <w:color w:val="000000"/>
                <w:sz w:val="18"/>
                <w:szCs w:val="20"/>
              </w:rPr>
              <w:t>Budget 2017</w:t>
            </w:r>
          </w:p>
        </w:tc>
        <w:tc>
          <w:tcPr>
            <w:tcW w:w="1499" w:type="dxa"/>
            <w:noWrap/>
            <w:hideMark/>
          </w:tcPr>
          <w:p w14:paraId="4BAFAF27"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346DCA">
              <w:rPr>
                <w:rFonts w:eastAsia="Times New Roman" w:cs="Times New Roman"/>
                <w:color w:val="000000"/>
                <w:sz w:val="18"/>
                <w:szCs w:val="20"/>
              </w:rPr>
              <w:t>690</w:t>
            </w:r>
          </w:p>
        </w:tc>
        <w:tc>
          <w:tcPr>
            <w:tcW w:w="1499" w:type="dxa"/>
            <w:noWrap/>
            <w:hideMark/>
          </w:tcPr>
          <w:p w14:paraId="2DDF58B7"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346DCA">
              <w:rPr>
                <w:rFonts w:eastAsia="Times New Roman" w:cs="Times New Roman"/>
                <w:color w:val="000000"/>
                <w:sz w:val="18"/>
                <w:szCs w:val="20"/>
              </w:rPr>
              <w:t>715</w:t>
            </w:r>
          </w:p>
        </w:tc>
        <w:tc>
          <w:tcPr>
            <w:tcW w:w="1499" w:type="dxa"/>
            <w:noWrap/>
            <w:hideMark/>
          </w:tcPr>
          <w:p w14:paraId="6C5B2D62"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346DCA">
              <w:rPr>
                <w:rFonts w:eastAsia="Times New Roman" w:cs="Times New Roman"/>
                <w:color w:val="000000"/>
                <w:sz w:val="18"/>
                <w:szCs w:val="20"/>
              </w:rPr>
              <w:t>746</w:t>
            </w:r>
          </w:p>
        </w:tc>
      </w:tr>
      <w:tr w:rsidR="003A4DC5" w:rsidRPr="00346DCA" w14:paraId="0BFB60F1" w14:textId="77777777" w:rsidTr="003A4DC5">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734" w:type="dxa"/>
            <w:noWrap/>
            <w:hideMark/>
          </w:tcPr>
          <w:p w14:paraId="057F89F8" w14:textId="77777777" w:rsidR="003A4DC5" w:rsidRPr="00346DCA" w:rsidRDefault="003A4DC5" w:rsidP="003A4DC5">
            <w:pPr>
              <w:spacing w:line="276" w:lineRule="auto"/>
              <w:jc w:val="left"/>
              <w:rPr>
                <w:rFonts w:eastAsia="Times New Roman" w:cs="Times New Roman"/>
                <w:color w:val="000000"/>
                <w:sz w:val="18"/>
                <w:szCs w:val="20"/>
              </w:rPr>
            </w:pPr>
            <w:r w:rsidRPr="00346DCA">
              <w:rPr>
                <w:rFonts w:eastAsia="Times New Roman" w:cs="Times New Roman"/>
                <w:color w:val="000000"/>
                <w:sz w:val="18"/>
                <w:szCs w:val="20"/>
              </w:rPr>
              <w:t>Revised Estimates</w:t>
            </w:r>
          </w:p>
        </w:tc>
        <w:tc>
          <w:tcPr>
            <w:tcW w:w="1499" w:type="dxa"/>
            <w:noWrap/>
            <w:hideMark/>
          </w:tcPr>
          <w:p w14:paraId="08DCB562"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346DCA">
              <w:rPr>
                <w:rFonts w:eastAsia="Times New Roman" w:cs="Times New Roman"/>
                <w:color w:val="000000"/>
                <w:sz w:val="18"/>
                <w:szCs w:val="20"/>
              </w:rPr>
              <w:t>693</w:t>
            </w:r>
          </w:p>
        </w:tc>
        <w:tc>
          <w:tcPr>
            <w:tcW w:w="1499" w:type="dxa"/>
            <w:noWrap/>
            <w:hideMark/>
          </w:tcPr>
          <w:p w14:paraId="162717C0"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346DCA">
              <w:rPr>
                <w:rFonts w:eastAsia="Times New Roman" w:cs="Times New Roman"/>
                <w:color w:val="000000"/>
                <w:sz w:val="18"/>
                <w:szCs w:val="20"/>
              </w:rPr>
              <w:t>714</w:t>
            </w:r>
          </w:p>
        </w:tc>
        <w:tc>
          <w:tcPr>
            <w:tcW w:w="1499" w:type="dxa"/>
            <w:noWrap/>
            <w:hideMark/>
          </w:tcPr>
          <w:p w14:paraId="74C6DC39"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346DCA">
              <w:rPr>
                <w:rFonts w:eastAsia="Times New Roman" w:cs="Times New Roman"/>
                <w:color w:val="000000"/>
                <w:sz w:val="18"/>
                <w:szCs w:val="20"/>
              </w:rPr>
              <w:t>745</w:t>
            </w:r>
          </w:p>
        </w:tc>
      </w:tr>
      <w:tr w:rsidR="003A4DC5" w:rsidRPr="00346DCA" w14:paraId="34FF0F9C" w14:textId="77777777" w:rsidTr="003A4DC5">
        <w:trPr>
          <w:trHeight w:val="166"/>
        </w:trPr>
        <w:tc>
          <w:tcPr>
            <w:cnfStyle w:val="001000000000" w:firstRow="0" w:lastRow="0" w:firstColumn="1" w:lastColumn="0" w:oddVBand="0" w:evenVBand="0" w:oddHBand="0" w:evenHBand="0" w:firstRowFirstColumn="0" w:firstRowLastColumn="0" w:lastRowFirstColumn="0" w:lastRowLastColumn="0"/>
            <w:tcW w:w="2734" w:type="dxa"/>
            <w:noWrap/>
          </w:tcPr>
          <w:p w14:paraId="45C2A856" w14:textId="77777777" w:rsidR="003A4DC5" w:rsidRPr="00346DCA" w:rsidRDefault="003A4DC5" w:rsidP="003A4DC5">
            <w:pPr>
              <w:spacing w:line="276" w:lineRule="auto"/>
              <w:rPr>
                <w:rFonts w:eastAsia="Times New Roman" w:cs="Times New Roman"/>
                <w:bCs w:val="0"/>
                <w:color w:val="000000"/>
                <w:sz w:val="18"/>
                <w:szCs w:val="20"/>
              </w:rPr>
            </w:pPr>
            <w:r w:rsidRPr="00346DCA">
              <w:rPr>
                <w:rFonts w:eastAsia="Times New Roman" w:cs="Times New Roman"/>
                <w:i/>
                <w:iCs/>
                <w:color w:val="000000"/>
                <w:sz w:val="18"/>
                <w:szCs w:val="20"/>
              </w:rPr>
              <w:t>Difference (v Capital Plan)</w:t>
            </w:r>
          </w:p>
        </w:tc>
        <w:tc>
          <w:tcPr>
            <w:tcW w:w="1499" w:type="dxa"/>
            <w:noWrap/>
          </w:tcPr>
          <w:p w14:paraId="57C0BA37"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szCs w:val="20"/>
              </w:rPr>
            </w:pPr>
            <w:r w:rsidRPr="00346DCA">
              <w:rPr>
                <w:rFonts w:eastAsia="Times New Roman" w:cs="Times New Roman"/>
                <w:i/>
                <w:color w:val="000000"/>
                <w:sz w:val="18"/>
                <w:szCs w:val="20"/>
              </w:rPr>
              <w:t>+94</w:t>
            </w:r>
          </w:p>
        </w:tc>
        <w:tc>
          <w:tcPr>
            <w:tcW w:w="1499" w:type="dxa"/>
            <w:noWrap/>
          </w:tcPr>
          <w:p w14:paraId="17B4BB0E"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szCs w:val="20"/>
              </w:rPr>
            </w:pPr>
            <w:r w:rsidRPr="00346DCA">
              <w:rPr>
                <w:rFonts w:eastAsia="Times New Roman" w:cs="Times New Roman"/>
                <w:i/>
                <w:color w:val="000000"/>
                <w:sz w:val="18"/>
                <w:szCs w:val="20"/>
              </w:rPr>
              <w:t>+91</w:t>
            </w:r>
          </w:p>
        </w:tc>
        <w:tc>
          <w:tcPr>
            <w:tcW w:w="1499" w:type="dxa"/>
            <w:noWrap/>
          </w:tcPr>
          <w:p w14:paraId="0B78D138"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szCs w:val="20"/>
              </w:rPr>
            </w:pPr>
            <w:r w:rsidRPr="00346DCA">
              <w:rPr>
                <w:rFonts w:eastAsia="Times New Roman" w:cs="Times New Roman"/>
                <w:i/>
                <w:color w:val="000000"/>
                <w:sz w:val="18"/>
                <w:szCs w:val="20"/>
              </w:rPr>
              <w:t>+91</w:t>
            </w:r>
          </w:p>
        </w:tc>
      </w:tr>
    </w:tbl>
    <w:p w14:paraId="3806AB57" w14:textId="32287199" w:rsidR="003A4DC5" w:rsidRPr="00780B35" w:rsidRDefault="003A4DC5" w:rsidP="003A4DC5">
      <w:pPr>
        <w:pStyle w:val="DKMBodyText"/>
        <w:spacing w:line="276" w:lineRule="auto"/>
        <w:rPr>
          <w:rFonts w:asciiTheme="minorHAnsi" w:hAnsiTheme="minorHAnsi"/>
          <w:sz w:val="18"/>
          <w:szCs w:val="18"/>
        </w:rPr>
      </w:pPr>
      <w:r w:rsidRPr="00780B35">
        <w:rPr>
          <w:rFonts w:asciiTheme="minorHAnsi" w:hAnsiTheme="minorHAnsi"/>
          <w:sz w:val="18"/>
          <w:szCs w:val="18"/>
        </w:rPr>
        <w:t>Source: Capital Plan, Budget 2017, Revised Estimates</w:t>
      </w:r>
      <w:r w:rsidR="00780B35" w:rsidRPr="00780B35">
        <w:rPr>
          <w:rFonts w:asciiTheme="minorHAnsi" w:hAnsiTheme="minorHAnsi"/>
          <w:sz w:val="18"/>
          <w:szCs w:val="18"/>
        </w:rPr>
        <w:t xml:space="preserve"> for Public Services</w:t>
      </w:r>
      <w:r w:rsidRPr="00780B35">
        <w:rPr>
          <w:rFonts w:asciiTheme="minorHAnsi" w:hAnsiTheme="minorHAnsi"/>
          <w:sz w:val="18"/>
          <w:szCs w:val="18"/>
        </w:rPr>
        <w:t xml:space="preserve"> 2017</w:t>
      </w:r>
    </w:p>
    <w:p w14:paraId="2C9535FF" w14:textId="77777777" w:rsidR="008A1804" w:rsidRDefault="008A1804" w:rsidP="008A1804">
      <w:pPr>
        <w:rPr>
          <w:sz w:val="20"/>
          <w:szCs w:val="20"/>
        </w:rPr>
      </w:pPr>
    </w:p>
    <w:p w14:paraId="20F35E58" w14:textId="1F3EA50B" w:rsidR="008A1804" w:rsidRDefault="00F5247C" w:rsidP="00A36A1B">
      <w:pPr>
        <w:rPr>
          <w:sz w:val="20"/>
          <w:szCs w:val="20"/>
        </w:rPr>
      </w:pPr>
      <w:r w:rsidRPr="00F5247C">
        <w:rPr>
          <w:sz w:val="20"/>
          <w:szCs w:val="20"/>
        </w:rPr>
        <w:t>With</w:t>
      </w:r>
      <w:r w:rsidR="008A1804">
        <w:rPr>
          <w:sz w:val="20"/>
          <w:szCs w:val="20"/>
        </w:rPr>
        <w:t>in</w:t>
      </w:r>
      <w:r w:rsidRPr="00F5247C">
        <w:rPr>
          <w:sz w:val="20"/>
          <w:szCs w:val="20"/>
        </w:rPr>
        <w:t xml:space="preserve"> Education, the programme comprise</w:t>
      </w:r>
      <w:r w:rsidR="003C1DA3">
        <w:rPr>
          <w:sz w:val="20"/>
          <w:szCs w:val="20"/>
        </w:rPr>
        <w:t>s</w:t>
      </w:r>
      <w:r w:rsidRPr="00F5247C">
        <w:rPr>
          <w:sz w:val="20"/>
          <w:szCs w:val="20"/>
        </w:rPr>
        <w:t xml:space="preserve"> a lot of relatively small projects compared to Transport for example. </w:t>
      </w:r>
      <w:r w:rsidR="008A1804">
        <w:rPr>
          <w:sz w:val="20"/>
          <w:szCs w:val="20"/>
        </w:rPr>
        <w:t xml:space="preserve">There are 310 major school building projects in the Capital Plan, which include 156 at primary level, 124 at post-primary level and 30 special schools. In total 62,000 additional school places will be provided, comprising 19,000 primary and 43,000 post-primary places. </w:t>
      </w:r>
      <w:r w:rsidR="00BD0B75">
        <w:rPr>
          <w:sz w:val="20"/>
          <w:szCs w:val="20"/>
        </w:rPr>
        <w:t>Subsequent to the Capital Plan, Minister Bruton announced patronage of 9 new post-primary schools to be established in 2017 and 2018, providing 8,200 additional places.</w:t>
      </w:r>
      <w:r w:rsidR="00BD0B75">
        <w:rPr>
          <w:rStyle w:val="FootnoteReference"/>
          <w:sz w:val="20"/>
          <w:szCs w:val="20"/>
        </w:rPr>
        <w:footnoteReference w:id="57"/>
      </w:r>
      <w:r w:rsidR="00BD0B75">
        <w:rPr>
          <w:sz w:val="20"/>
          <w:szCs w:val="20"/>
        </w:rPr>
        <w:t xml:space="preserve">  </w:t>
      </w:r>
    </w:p>
    <w:p w14:paraId="0C68AD3F" w14:textId="77777777" w:rsidR="008A1804" w:rsidRDefault="008A1804" w:rsidP="00A36A1B">
      <w:pPr>
        <w:rPr>
          <w:sz w:val="20"/>
          <w:szCs w:val="20"/>
        </w:rPr>
      </w:pPr>
    </w:p>
    <w:p w14:paraId="414E6393" w14:textId="24B3EC40" w:rsidR="003C1DA3" w:rsidRPr="0063437E" w:rsidRDefault="003C1DA3" w:rsidP="00A36A1B">
      <w:pPr>
        <w:rPr>
          <w:b/>
          <w:i/>
          <w:color w:val="005596"/>
          <w:sz w:val="20"/>
          <w:szCs w:val="20"/>
        </w:rPr>
      </w:pPr>
      <w:r w:rsidRPr="0063437E">
        <w:rPr>
          <w:b/>
          <w:i/>
          <w:color w:val="005596"/>
          <w:sz w:val="20"/>
          <w:szCs w:val="20"/>
        </w:rPr>
        <w:t>Issues of concern for the Education budget</w:t>
      </w:r>
    </w:p>
    <w:p w14:paraId="257B2BE4" w14:textId="77777777" w:rsidR="003C1DA3" w:rsidRDefault="005F0DF8" w:rsidP="00A36A1B">
      <w:pPr>
        <w:rPr>
          <w:sz w:val="20"/>
          <w:szCs w:val="20"/>
        </w:rPr>
      </w:pPr>
      <w:r>
        <w:rPr>
          <w:sz w:val="20"/>
          <w:szCs w:val="20"/>
        </w:rPr>
        <w:t>There are t</w:t>
      </w:r>
      <w:r w:rsidR="00A36A1B">
        <w:rPr>
          <w:sz w:val="20"/>
          <w:szCs w:val="20"/>
        </w:rPr>
        <w:t>hree</w:t>
      </w:r>
      <w:r>
        <w:rPr>
          <w:sz w:val="20"/>
          <w:szCs w:val="20"/>
        </w:rPr>
        <w:t xml:space="preserve"> issues of concern for the education budget</w:t>
      </w:r>
      <w:r w:rsidR="003C1DA3">
        <w:rPr>
          <w:sz w:val="20"/>
          <w:szCs w:val="20"/>
        </w:rPr>
        <w:t>:</w:t>
      </w:r>
    </w:p>
    <w:p w14:paraId="1DF689B5" w14:textId="77777777" w:rsidR="003C1DA3" w:rsidRPr="001B3A08" w:rsidRDefault="003C1DA3" w:rsidP="001B3A08">
      <w:pPr>
        <w:pStyle w:val="ListParagraph"/>
        <w:numPr>
          <w:ilvl w:val="0"/>
          <w:numId w:val="37"/>
        </w:numPr>
        <w:spacing w:after="0" w:line="280" w:lineRule="atLeast"/>
        <w:ind w:left="425" w:hanging="357"/>
        <w:jc w:val="both"/>
        <w:rPr>
          <w:sz w:val="20"/>
          <w:szCs w:val="20"/>
        </w:rPr>
      </w:pPr>
      <w:r w:rsidRPr="001B3A08">
        <w:rPr>
          <w:sz w:val="20"/>
          <w:szCs w:val="20"/>
        </w:rPr>
        <w:t>T</w:t>
      </w:r>
      <w:r w:rsidR="005F0DF8" w:rsidRPr="001B3A08">
        <w:rPr>
          <w:sz w:val="20"/>
          <w:szCs w:val="20"/>
        </w:rPr>
        <w:t>he limited amount allocated for third-level facilities</w:t>
      </w:r>
      <w:r w:rsidRPr="001B3A08">
        <w:rPr>
          <w:sz w:val="20"/>
          <w:szCs w:val="20"/>
        </w:rPr>
        <w:t>;</w:t>
      </w:r>
    </w:p>
    <w:p w14:paraId="7A21F960" w14:textId="7CDF9F0A" w:rsidR="003C1DA3" w:rsidRPr="001B3A08" w:rsidRDefault="003C1DA3" w:rsidP="001B3A08">
      <w:pPr>
        <w:pStyle w:val="ListParagraph"/>
        <w:numPr>
          <w:ilvl w:val="0"/>
          <w:numId w:val="37"/>
        </w:numPr>
        <w:spacing w:after="0" w:line="280" w:lineRule="atLeast"/>
        <w:ind w:left="425" w:hanging="357"/>
        <w:jc w:val="both"/>
        <w:rPr>
          <w:sz w:val="20"/>
          <w:szCs w:val="20"/>
        </w:rPr>
      </w:pPr>
      <w:r w:rsidRPr="001B3A08">
        <w:rPr>
          <w:sz w:val="20"/>
          <w:szCs w:val="20"/>
        </w:rPr>
        <w:t>The</w:t>
      </w:r>
      <w:r w:rsidR="005F0DF8" w:rsidRPr="001B3A08">
        <w:rPr>
          <w:sz w:val="20"/>
          <w:szCs w:val="20"/>
        </w:rPr>
        <w:t xml:space="preserve"> large unitary charge in the </w:t>
      </w:r>
      <w:r w:rsidR="00A36A1B" w:rsidRPr="001B3A08">
        <w:rPr>
          <w:sz w:val="20"/>
          <w:szCs w:val="20"/>
        </w:rPr>
        <w:t>b</w:t>
      </w:r>
      <w:r w:rsidR="005F0DF8" w:rsidRPr="001B3A08">
        <w:rPr>
          <w:sz w:val="20"/>
          <w:szCs w:val="20"/>
        </w:rPr>
        <w:t>udget for 25 schools buil</w:t>
      </w:r>
      <w:r w:rsidR="00A36A1B" w:rsidRPr="001B3A08">
        <w:rPr>
          <w:sz w:val="20"/>
          <w:szCs w:val="20"/>
        </w:rPr>
        <w:t>t</w:t>
      </w:r>
      <w:r w:rsidR="005F0DF8" w:rsidRPr="001B3A08">
        <w:rPr>
          <w:sz w:val="20"/>
          <w:szCs w:val="20"/>
        </w:rPr>
        <w:t xml:space="preserve"> using the PPP model</w:t>
      </w:r>
      <w:r w:rsidR="001B3A08" w:rsidRPr="001B3A08">
        <w:rPr>
          <w:sz w:val="20"/>
          <w:szCs w:val="20"/>
        </w:rPr>
        <w:t>; and</w:t>
      </w:r>
    </w:p>
    <w:p w14:paraId="29E53B45" w14:textId="0715FDAF" w:rsidR="001B3A08" w:rsidRPr="001B3A08" w:rsidRDefault="001B3A08" w:rsidP="001B3A08">
      <w:pPr>
        <w:pStyle w:val="ListParagraph"/>
        <w:numPr>
          <w:ilvl w:val="0"/>
          <w:numId w:val="37"/>
        </w:numPr>
        <w:spacing w:after="0" w:line="280" w:lineRule="atLeast"/>
        <w:ind w:left="425" w:hanging="357"/>
        <w:jc w:val="both"/>
        <w:rPr>
          <w:sz w:val="20"/>
          <w:szCs w:val="20"/>
        </w:rPr>
      </w:pPr>
      <w:r w:rsidRPr="001B3A08">
        <w:rPr>
          <w:sz w:val="20"/>
          <w:szCs w:val="20"/>
        </w:rPr>
        <w:t>Construction inflation with the average build cost for schools currently around €1,210/sqm, compared with €1,230/sqm in 2006 and €930/sqm in 2009.</w:t>
      </w:r>
    </w:p>
    <w:p w14:paraId="5AF8263B" w14:textId="77777777" w:rsidR="001B3A08" w:rsidRDefault="001B3A08" w:rsidP="00A36A1B">
      <w:pPr>
        <w:rPr>
          <w:sz w:val="20"/>
          <w:szCs w:val="20"/>
        </w:rPr>
      </w:pPr>
    </w:p>
    <w:p w14:paraId="1F1258E0" w14:textId="6BA8C880" w:rsidR="008A1804" w:rsidRDefault="005F0DF8" w:rsidP="00A36A1B">
      <w:pPr>
        <w:rPr>
          <w:sz w:val="20"/>
          <w:szCs w:val="20"/>
        </w:rPr>
      </w:pPr>
      <w:r>
        <w:rPr>
          <w:sz w:val="20"/>
          <w:szCs w:val="20"/>
        </w:rPr>
        <w:t>In 2016, for example, of the total capital expenditure of €704 million</w:t>
      </w:r>
      <w:r>
        <w:rPr>
          <w:rStyle w:val="FootnoteReference"/>
          <w:sz w:val="20"/>
          <w:szCs w:val="20"/>
        </w:rPr>
        <w:footnoteReference w:id="58"/>
      </w:r>
      <w:r>
        <w:rPr>
          <w:sz w:val="20"/>
          <w:szCs w:val="20"/>
        </w:rPr>
        <w:t xml:space="preserve">, just €32m is allocated to higher education and €85m or 12 per cent is allocated to PPP projects. </w:t>
      </w:r>
    </w:p>
    <w:p w14:paraId="582FBA28" w14:textId="77777777" w:rsidR="00513210" w:rsidRDefault="00513210" w:rsidP="00342825">
      <w:pPr>
        <w:rPr>
          <w:sz w:val="20"/>
          <w:szCs w:val="20"/>
        </w:rPr>
      </w:pPr>
    </w:p>
    <w:p w14:paraId="0838CEEC" w14:textId="383BC256" w:rsidR="00F5247C" w:rsidRDefault="00342825" w:rsidP="00342825">
      <w:pPr>
        <w:rPr>
          <w:sz w:val="20"/>
          <w:szCs w:val="20"/>
        </w:rPr>
      </w:pPr>
      <w:r>
        <w:rPr>
          <w:sz w:val="20"/>
          <w:szCs w:val="20"/>
        </w:rPr>
        <w:t xml:space="preserve">The development of primary and post-primary education facilities </w:t>
      </w:r>
      <w:r w:rsidR="00FE0538">
        <w:rPr>
          <w:sz w:val="20"/>
          <w:szCs w:val="20"/>
        </w:rPr>
        <w:t xml:space="preserve">is also procured </w:t>
      </w:r>
      <w:r>
        <w:rPr>
          <w:sz w:val="20"/>
          <w:szCs w:val="20"/>
        </w:rPr>
        <w:t xml:space="preserve">via </w:t>
      </w:r>
      <w:r w:rsidRPr="00342825">
        <w:rPr>
          <w:sz w:val="20"/>
          <w:szCs w:val="20"/>
        </w:rPr>
        <w:t xml:space="preserve">Public Private Partnership </w:t>
      </w:r>
      <w:r w:rsidRPr="00FE0538">
        <w:rPr>
          <w:sz w:val="20"/>
          <w:szCs w:val="20"/>
        </w:rPr>
        <w:t>(PPP)</w:t>
      </w:r>
      <w:r w:rsidRPr="00342825">
        <w:rPr>
          <w:sz w:val="20"/>
          <w:szCs w:val="20"/>
        </w:rPr>
        <w:t xml:space="preserve"> arrangements. </w:t>
      </w:r>
      <w:r>
        <w:rPr>
          <w:sz w:val="20"/>
          <w:szCs w:val="20"/>
        </w:rPr>
        <w:t xml:space="preserve">A total of 25 post primary and 2 primary schools have </w:t>
      </w:r>
      <w:r w:rsidRPr="00342825">
        <w:rPr>
          <w:sz w:val="20"/>
          <w:szCs w:val="20"/>
        </w:rPr>
        <w:t>already been delivered by the NDFA</w:t>
      </w:r>
      <w:r>
        <w:rPr>
          <w:sz w:val="20"/>
          <w:szCs w:val="20"/>
        </w:rPr>
        <w:t xml:space="preserve"> in four separate school bundles over the period 2011-2016. The contract for the fifth school bundle comprising four post primary schools and one primary school was signed in July 2016. These are expected to be completed in 2018. There are currently no further school bundles in the pipeline due to the level of unitary payments already committed to in the Department Education and Skills</w:t>
      </w:r>
      <w:r w:rsidR="00FE0538">
        <w:rPr>
          <w:sz w:val="20"/>
          <w:szCs w:val="20"/>
        </w:rPr>
        <w:t>’</w:t>
      </w:r>
      <w:r>
        <w:rPr>
          <w:sz w:val="20"/>
          <w:szCs w:val="20"/>
        </w:rPr>
        <w:t xml:space="preserve"> budget. </w:t>
      </w:r>
    </w:p>
    <w:p w14:paraId="699349A0" w14:textId="77777777" w:rsidR="008A2653" w:rsidRDefault="008A2653" w:rsidP="00342825">
      <w:pPr>
        <w:rPr>
          <w:sz w:val="20"/>
          <w:szCs w:val="20"/>
        </w:rPr>
      </w:pPr>
    </w:p>
    <w:p w14:paraId="527C785C" w14:textId="097F9169" w:rsidR="008A2653" w:rsidRPr="00BE1CCF" w:rsidRDefault="008A2653" w:rsidP="00513210">
      <w:pPr>
        <w:rPr>
          <w:color w:val="FF0000"/>
          <w:sz w:val="20"/>
          <w:szCs w:val="20"/>
        </w:rPr>
      </w:pPr>
      <w:r>
        <w:rPr>
          <w:sz w:val="20"/>
          <w:szCs w:val="20"/>
        </w:rPr>
        <w:t xml:space="preserve">There is a provision of €200m in the </w:t>
      </w:r>
      <w:r w:rsidR="00AC584D">
        <w:rPr>
          <w:sz w:val="20"/>
          <w:szCs w:val="20"/>
        </w:rPr>
        <w:t>C</w:t>
      </w:r>
      <w:r>
        <w:rPr>
          <w:sz w:val="20"/>
          <w:szCs w:val="20"/>
        </w:rPr>
        <w:t>apital Plan for higher education PPP project</w:t>
      </w:r>
      <w:r w:rsidR="00AC584D">
        <w:rPr>
          <w:sz w:val="20"/>
          <w:szCs w:val="20"/>
        </w:rPr>
        <w:t>s</w:t>
      </w:r>
      <w:r>
        <w:rPr>
          <w:sz w:val="20"/>
          <w:szCs w:val="20"/>
        </w:rPr>
        <w:t xml:space="preserve"> and proposals are currently being assessed by the H</w:t>
      </w:r>
      <w:r w:rsidR="00AC584D">
        <w:rPr>
          <w:sz w:val="20"/>
          <w:szCs w:val="20"/>
        </w:rPr>
        <w:t xml:space="preserve">igher Education </w:t>
      </w:r>
      <w:r w:rsidR="00FE0538">
        <w:rPr>
          <w:sz w:val="20"/>
          <w:szCs w:val="20"/>
        </w:rPr>
        <w:t>A</w:t>
      </w:r>
      <w:r w:rsidR="00AC584D">
        <w:rPr>
          <w:sz w:val="20"/>
          <w:szCs w:val="20"/>
        </w:rPr>
        <w:t>uthority (H</w:t>
      </w:r>
      <w:r>
        <w:rPr>
          <w:sz w:val="20"/>
          <w:szCs w:val="20"/>
        </w:rPr>
        <w:t>EA</w:t>
      </w:r>
      <w:r w:rsidR="00AC584D">
        <w:rPr>
          <w:sz w:val="20"/>
          <w:szCs w:val="20"/>
        </w:rPr>
        <w:t>)</w:t>
      </w:r>
      <w:r>
        <w:rPr>
          <w:sz w:val="20"/>
          <w:szCs w:val="20"/>
        </w:rPr>
        <w:t xml:space="preserve"> both in the context of the PPP programme and the mid-term review of the Capital </w:t>
      </w:r>
      <w:r w:rsidRPr="008E47D7">
        <w:rPr>
          <w:sz w:val="20"/>
          <w:szCs w:val="20"/>
        </w:rPr>
        <w:t>Plan.</w:t>
      </w:r>
      <w:r w:rsidR="00BE1CCF" w:rsidRPr="008E47D7">
        <w:rPr>
          <w:sz w:val="20"/>
          <w:szCs w:val="20"/>
        </w:rPr>
        <w:t xml:space="preserve"> However the very limited investment in third level education facilities over the past decade is leading to a drop in the rankings of Irish universities which </w:t>
      </w:r>
      <w:r w:rsidR="0063437E" w:rsidRPr="008E47D7">
        <w:rPr>
          <w:sz w:val="20"/>
          <w:szCs w:val="20"/>
        </w:rPr>
        <w:t>is likely to</w:t>
      </w:r>
      <w:r w:rsidR="00BE1CCF" w:rsidRPr="008E47D7">
        <w:rPr>
          <w:sz w:val="20"/>
          <w:szCs w:val="20"/>
        </w:rPr>
        <w:t xml:space="preserve"> have adverse implications for our ability to attract international students and FDI. </w:t>
      </w:r>
    </w:p>
    <w:p w14:paraId="62BFB972" w14:textId="77777777" w:rsidR="008A2653" w:rsidRDefault="008A2653" w:rsidP="00513210">
      <w:pPr>
        <w:pStyle w:val="DKMBodyText"/>
        <w:rPr>
          <w:rFonts w:asciiTheme="minorHAnsi" w:hAnsiTheme="minorHAnsi"/>
          <w:b/>
          <w:color w:val="005596"/>
          <w:sz w:val="20"/>
          <w:szCs w:val="20"/>
        </w:rPr>
      </w:pPr>
    </w:p>
    <w:p w14:paraId="46EF80E6" w14:textId="38177953" w:rsidR="003A4DC5" w:rsidRPr="009D368D" w:rsidRDefault="003A4DC5" w:rsidP="00513210">
      <w:pPr>
        <w:pStyle w:val="DKMBodyText"/>
        <w:rPr>
          <w:rFonts w:asciiTheme="minorHAnsi" w:hAnsiTheme="minorHAnsi"/>
          <w:b/>
          <w:color w:val="005596"/>
          <w:sz w:val="20"/>
          <w:szCs w:val="20"/>
        </w:rPr>
      </w:pPr>
      <w:r w:rsidRPr="009D368D">
        <w:rPr>
          <w:rFonts w:asciiTheme="minorHAnsi" w:hAnsiTheme="minorHAnsi"/>
          <w:b/>
          <w:color w:val="005596"/>
          <w:sz w:val="20"/>
          <w:szCs w:val="20"/>
        </w:rPr>
        <w:t>Health</w:t>
      </w:r>
      <w:r w:rsidR="00D91E46">
        <w:rPr>
          <w:rStyle w:val="FootnoteReference"/>
          <w:rFonts w:asciiTheme="minorHAnsi" w:hAnsiTheme="minorHAnsi"/>
          <w:b/>
          <w:color w:val="005596"/>
          <w:sz w:val="20"/>
          <w:szCs w:val="20"/>
        </w:rPr>
        <w:footnoteReference w:id="59"/>
      </w:r>
    </w:p>
    <w:p w14:paraId="6D30E147" w14:textId="422F1A11" w:rsidR="003A4DC5" w:rsidRPr="00E43A20" w:rsidRDefault="002A022F" w:rsidP="00513210">
      <w:pPr>
        <w:pStyle w:val="DKMBodyText"/>
        <w:rPr>
          <w:rFonts w:asciiTheme="minorHAnsi" w:hAnsiTheme="minorHAnsi"/>
          <w:sz w:val="20"/>
          <w:szCs w:val="20"/>
        </w:rPr>
      </w:pPr>
      <w:r>
        <w:rPr>
          <w:rFonts w:asciiTheme="minorHAnsi" w:hAnsiTheme="minorHAnsi"/>
          <w:sz w:val="20"/>
          <w:szCs w:val="20"/>
        </w:rPr>
        <w:t xml:space="preserve">The total allocation for Health infrastructure in the Capital Plan </w:t>
      </w:r>
      <w:r w:rsidR="004360F5">
        <w:rPr>
          <w:rFonts w:asciiTheme="minorHAnsi" w:hAnsiTheme="minorHAnsi"/>
          <w:sz w:val="20"/>
          <w:szCs w:val="20"/>
        </w:rPr>
        <w:t>i</w:t>
      </w:r>
      <w:r>
        <w:rPr>
          <w:rFonts w:asciiTheme="minorHAnsi" w:hAnsiTheme="minorHAnsi"/>
          <w:sz w:val="20"/>
          <w:szCs w:val="20"/>
        </w:rPr>
        <w:t>s €3.06</w:t>
      </w:r>
      <w:r w:rsidR="004360F5">
        <w:rPr>
          <w:rFonts w:asciiTheme="minorHAnsi" w:hAnsiTheme="minorHAnsi"/>
          <w:sz w:val="20"/>
          <w:szCs w:val="20"/>
        </w:rPr>
        <w:t xml:space="preserve"> billion</w:t>
      </w:r>
      <w:r>
        <w:rPr>
          <w:rFonts w:asciiTheme="minorHAnsi" w:hAnsiTheme="minorHAnsi"/>
          <w:sz w:val="20"/>
          <w:szCs w:val="20"/>
        </w:rPr>
        <w:t xml:space="preserve"> over the period 2016-2021. Looking at the next three years, t</w:t>
      </w:r>
      <w:r w:rsidR="003A4DC5" w:rsidRPr="00E43A20">
        <w:rPr>
          <w:rFonts w:asciiTheme="minorHAnsi" w:hAnsiTheme="minorHAnsi"/>
          <w:sz w:val="20"/>
          <w:szCs w:val="20"/>
        </w:rPr>
        <w:t>he Capital Plan allocated €454</w:t>
      </w:r>
      <w:r w:rsidR="004360F5">
        <w:rPr>
          <w:rFonts w:asciiTheme="minorHAnsi" w:hAnsiTheme="minorHAnsi"/>
          <w:sz w:val="20"/>
          <w:szCs w:val="20"/>
        </w:rPr>
        <w:t xml:space="preserve"> million</w:t>
      </w:r>
      <w:r w:rsidR="003A4DC5" w:rsidRPr="00E43A20">
        <w:rPr>
          <w:rFonts w:asciiTheme="minorHAnsi" w:hAnsiTheme="minorHAnsi"/>
          <w:sz w:val="20"/>
          <w:szCs w:val="20"/>
        </w:rPr>
        <w:t>, €473</w:t>
      </w:r>
      <w:r w:rsidR="004360F5">
        <w:rPr>
          <w:rFonts w:asciiTheme="minorHAnsi" w:hAnsiTheme="minorHAnsi"/>
          <w:sz w:val="20"/>
          <w:szCs w:val="20"/>
        </w:rPr>
        <w:t xml:space="preserve"> million</w:t>
      </w:r>
      <w:r w:rsidR="003A4DC5" w:rsidRPr="00E43A20">
        <w:rPr>
          <w:rFonts w:asciiTheme="minorHAnsi" w:hAnsiTheme="minorHAnsi"/>
          <w:sz w:val="20"/>
          <w:szCs w:val="20"/>
        </w:rPr>
        <w:t>, and €550</w:t>
      </w:r>
      <w:r w:rsidR="004360F5">
        <w:rPr>
          <w:rFonts w:asciiTheme="minorHAnsi" w:hAnsiTheme="minorHAnsi"/>
          <w:sz w:val="20"/>
          <w:szCs w:val="20"/>
        </w:rPr>
        <w:t xml:space="preserve"> million</w:t>
      </w:r>
      <w:r w:rsidR="003A4DC5" w:rsidRPr="00E43A20">
        <w:rPr>
          <w:rFonts w:asciiTheme="minorHAnsi" w:hAnsiTheme="minorHAnsi"/>
          <w:sz w:val="20"/>
          <w:szCs w:val="20"/>
        </w:rPr>
        <w:t xml:space="preserve"> to the Department of Health in 2017, 2018, and 2019 respectively. Neither Budget 2017 nor the Revised Estimates increased this allocation in the intervening period. </w:t>
      </w:r>
    </w:p>
    <w:p w14:paraId="073F45F3" w14:textId="77777777" w:rsidR="003A4DC5" w:rsidRPr="00346DCA" w:rsidRDefault="003A4DC5" w:rsidP="003A4DC5">
      <w:pPr>
        <w:pStyle w:val="DKMTable"/>
        <w:spacing w:line="276" w:lineRule="auto"/>
      </w:pPr>
      <w:bookmarkStart w:id="36" w:name="_Toc478116723"/>
      <w:r w:rsidRPr="00346DCA">
        <w:t>Department of Health: Voted Capital Expenditure (€m)</w:t>
      </w:r>
      <w:bookmarkEnd w:id="36"/>
    </w:p>
    <w:tbl>
      <w:tblPr>
        <w:tblStyle w:val="ColorfulList-Accent1"/>
        <w:tblW w:w="7080" w:type="dxa"/>
        <w:tblLook w:val="04A0" w:firstRow="1" w:lastRow="0" w:firstColumn="1" w:lastColumn="0" w:noHBand="0" w:noVBand="1"/>
      </w:tblPr>
      <w:tblGrid>
        <w:gridCol w:w="2977"/>
        <w:gridCol w:w="1169"/>
        <w:gridCol w:w="1467"/>
        <w:gridCol w:w="1467"/>
      </w:tblGrid>
      <w:tr w:rsidR="003A4DC5" w:rsidRPr="00346DCA" w14:paraId="3FA35A98" w14:textId="77777777" w:rsidTr="003A4DC5">
        <w:trPr>
          <w:cnfStyle w:val="100000000000" w:firstRow="1" w:lastRow="0" w:firstColumn="0" w:lastColumn="0" w:oddVBand="0" w:evenVBand="0" w:oddHBand="0"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16B3726" w14:textId="77777777" w:rsidR="003A4DC5" w:rsidRPr="00346DCA" w:rsidRDefault="003A4DC5" w:rsidP="003A4DC5">
            <w:pPr>
              <w:spacing w:line="276" w:lineRule="auto"/>
              <w:jc w:val="left"/>
              <w:rPr>
                <w:rFonts w:eastAsia="Times New Roman" w:cs="Times New Roman"/>
                <w:color w:val="FFFFFF"/>
                <w:sz w:val="18"/>
              </w:rPr>
            </w:pPr>
          </w:p>
        </w:tc>
        <w:tc>
          <w:tcPr>
            <w:tcW w:w="1169" w:type="dxa"/>
            <w:noWrap/>
            <w:hideMark/>
          </w:tcPr>
          <w:p w14:paraId="292F654D" w14:textId="77777777" w:rsidR="003A4DC5" w:rsidRPr="00346DCA" w:rsidRDefault="003A4DC5" w:rsidP="003A4DC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rPr>
            </w:pPr>
            <w:r w:rsidRPr="00346DCA">
              <w:rPr>
                <w:rFonts w:eastAsia="Times New Roman" w:cs="Times New Roman"/>
                <w:color w:val="FFFFFF"/>
                <w:sz w:val="18"/>
              </w:rPr>
              <w:t>2017</w:t>
            </w:r>
          </w:p>
        </w:tc>
        <w:tc>
          <w:tcPr>
            <w:tcW w:w="1467" w:type="dxa"/>
            <w:noWrap/>
            <w:hideMark/>
          </w:tcPr>
          <w:p w14:paraId="1A4E132A" w14:textId="77777777" w:rsidR="003A4DC5" w:rsidRPr="00346DCA" w:rsidRDefault="003A4DC5" w:rsidP="003A4DC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rPr>
            </w:pPr>
            <w:r w:rsidRPr="00346DCA">
              <w:rPr>
                <w:rFonts w:eastAsia="Times New Roman" w:cs="Times New Roman"/>
                <w:color w:val="FFFFFF"/>
                <w:sz w:val="18"/>
              </w:rPr>
              <w:t>2018</w:t>
            </w:r>
          </w:p>
        </w:tc>
        <w:tc>
          <w:tcPr>
            <w:tcW w:w="1467" w:type="dxa"/>
            <w:noWrap/>
            <w:hideMark/>
          </w:tcPr>
          <w:p w14:paraId="40420414" w14:textId="77777777" w:rsidR="003A4DC5" w:rsidRPr="00346DCA" w:rsidRDefault="003A4DC5" w:rsidP="003A4DC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rPr>
            </w:pPr>
            <w:r w:rsidRPr="00346DCA">
              <w:rPr>
                <w:rFonts w:eastAsia="Times New Roman" w:cs="Times New Roman"/>
                <w:color w:val="FFFFFF"/>
                <w:sz w:val="18"/>
              </w:rPr>
              <w:t>2019</w:t>
            </w:r>
          </w:p>
        </w:tc>
      </w:tr>
      <w:tr w:rsidR="003A4DC5" w:rsidRPr="00346DCA" w14:paraId="4DB47FEC" w14:textId="77777777" w:rsidTr="003A4DC5">
        <w:trPr>
          <w:cnfStyle w:val="000000100000" w:firstRow="0" w:lastRow="0" w:firstColumn="0" w:lastColumn="0" w:oddVBand="0" w:evenVBand="0" w:oddHBand="1"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2977" w:type="dxa"/>
            <w:noWrap/>
            <w:hideMark/>
          </w:tcPr>
          <w:p w14:paraId="78D73F33" w14:textId="77777777" w:rsidR="003A4DC5" w:rsidRPr="00346DCA" w:rsidRDefault="003A4DC5" w:rsidP="003A4DC5">
            <w:pPr>
              <w:spacing w:line="276" w:lineRule="auto"/>
              <w:jc w:val="left"/>
              <w:rPr>
                <w:rFonts w:eastAsia="Times New Roman" w:cs="Times New Roman"/>
                <w:color w:val="000000"/>
                <w:sz w:val="18"/>
              </w:rPr>
            </w:pPr>
            <w:r w:rsidRPr="00346DCA">
              <w:rPr>
                <w:rFonts w:eastAsia="Times New Roman" w:cs="Times New Roman"/>
                <w:color w:val="000000"/>
                <w:sz w:val="18"/>
              </w:rPr>
              <w:t>Capital Plan</w:t>
            </w:r>
          </w:p>
        </w:tc>
        <w:tc>
          <w:tcPr>
            <w:tcW w:w="1169" w:type="dxa"/>
            <w:noWrap/>
            <w:hideMark/>
          </w:tcPr>
          <w:p w14:paraId="74A07A64"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rPr>
            </w:pPr>
            <w:r w:rsidRPr="00346DCA">
              <w:rPr>
                <w:rFonts w:eastAsia="Times New Roman" w:cs="Times New Roman"/>
                <w:color w:val="000000"/>
                <w:sz w:val="18"/>
              </w:rPr>
              <w:t>454</w:t>
            </w:r>
          </w:p>
        </w:tc>
        <w:tc>
          <w:tcPr>
            <w:tcW w:w="1467" w:type="dxa"/>
            <w:noWrap/>
            <w:hideMark/>
          </w:tcPr>
          <w:p w14:paraId="4B8439B3"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rPr>
            </w:pPr>
            <w:r w:rsidRPr="00346DCA">
              <w:rPr>
                <w:rFonts w:eastAsia="Times New Roman" w:cs="Times New Roman"/>
                <w:color w:val="000000"/>
                <w:sz w:val="18"/>
              </w:rPr>
              <w:t>473</w:t>
            </w:r>
          </w:p>
        </w:tc>
        <w:tc>
          <w:tcPr>
            <w:tcW w:w="1467" w:type="dxa"/>
            <w:noWrap/>
            <w:hideMark/>
          </w:tcPr>
          <w:p w14:paraId="2AA66D1B"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rPr>
            </w:pPr>
            <w:r w:rsidRPr="00346DCA">
              <w:rPr>
                <w:rFonts w:eastAsia="Times New Roman" w:cs="Times New Roman"/>
                <w:color w:val="000000"/>
                <w:sz w:val="18"/>
              </w:rPr>
              <w:t>550</w:t>
            </w:r>
          </w:p>
        </w:tc>
      </w:tr>
      <w:tr w:rsidR="003A4DC5" w:rsidRPr="00346DCA" w14:paraId="64158E18" w14:textId="77777777" w:rsidTr="003A4DC5">
        <w:trPr>
          <w:trHeight w:val="2"/>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09C55C8" w14:textId="77777777" w:rsidR="003A4DC5" w:rsidRPr="00346DCA" w:rsidRDefault="003A4DC5" w:rsidP="003A4DC5">
            <w:pPr>
              <w:spacing w:line="276" w:lineRule="auto"/>
              <w:jc w:val="left"/>
              <w:rPr>
                <w:rFonts w:eastAsia="Times New Roman" w:cs="Times New Roman"/>
                <w:color w:val="000000"/>
                <w:sz w:val="18"/>
              </w:rPr>
            </w:pPr>
            <w:r w:rsidRPr="00346DCA">
              <w:rPr>
                <w:rFonts w:eastAsia="Times New Roman" w:cs="Times New Roman"/>
                <w:color w:val="000000"/>
                <w:sz w:val="18"/>
              </w:rPr>
              <w:t>Budget 2017</w:t>
            </w:r>
          </w:p>
        </w:tc>
        <w:tc>
          <w:tcPr>
            <w:tcW w:w="1169" w:type="dxa"/>
            <w:noWrap/>
            <w:hideMark/>
          </w:tcPr>
          <w:p w14:paraId="2893935A"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rPr>
            </w:pPr>
            <w:r w:rsidRPr="00346DCA">
              <w:rPr>
                <w:rFonts w:eastAsia="Times New Roman" w:cs="Times New Roman"/>
                <w:color w:val="000000"/>
                <w:sz w:val="18"/>
              </w:rPr>
              <w:t>454</w:t>
            </w:r>
          </w:p>
        </w:tc>
        <w:tc>
          <w:tcPr>
            <w:tcW w:w="1467" w:type="dxa"/>
            <w:noWrap/>
            <w:hideMark/>
          </w:tcPr>
          <w:p w14:paraId="4088B84A"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rPr>
            </w:pPr>
            <w:r w:rsidRPr="00346DCA">
              <w:rPr>
                <w:rFonts w:eastAsia="Times New Roman" w:cs="Times New Roman"/>
                <w:color w:val="000000"/>
                <w:sz w:val="18"/>
              </w:rPr>
              <w:t>473</w:t>
            </w:r>
          </w:p>
        </w:tc>
        <w:tc>
          <w:tcPr>
            <w:tcW w:w="1467" w:type="dxa"/>
            <w:noWrap/>
            <w:hideMark/>
          </w:tcPr>
          <w:p w14:paraId="5812CB7E"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rPr>
            </w:pPr>
            <w:r w:rsidRPr="00346DCA">
              <w:rPr>
                <w:rFonts w:eastAsia="Times New Roman" w:cs="Times New Roman"/>
                <w:color w:val="000000"/>
                <w:sz w:val="18"/>
              </w:rPr>
              <w:t>550</w:t>
            </w:r>
          </w:p>
        </w:tc>
      </w:tr>
      <w:tr w:rsidR="003A4DC5" w:rsidRPr="00346DCA" w14:paraId="06DBB808" w14:textId="77777777" w:rsidTr="003A4DC5">
        <w:trPr>
          <w:cnfStyle w:val="000000100000" w:firstRow="0" w:lastRow="0" w:firstColumn="0" w:lastColumn="0" w:oddVBand="0" w:evenVBand="0" w:oddHBand="1"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9F90915" w14:textId="77777777" w:rsidR="003A4DC5" w:rsidRPr="00346DCA" w:rsidRDefault="003A4DC5" w:rsidP="003A4DC5">
            <w:pPr>
              <w:spacing w:line="276" w:lineRule="auto"/>
              <w:jc w:val="left"/>
              <w:rPr>
                <w:rFonts w:eastAsia="Times New Roman" w:cs="Times New Roman"/>
                <w:color w:val="000000"/>
                <w:sz w:val="18"/>
              </w:rPr>
            </w:pPr>
            <w:r w:rsidRPr="00346DCA">
              <w:rPr>
                <w:rFonts w:eastAsia="Times New Roman" w:cs="Times New Roman"/>
                <w:color w:val="000000"/>
                <w:sz w:val="18"/>
              </w:rPr>
              <w:t>Revised Estimates</w:t>
            </w:r>
          </w:p>
        </w:tc>
        <w:tc>
          <w:tcPr>
            <w:tcW w:w="1169" w:type="dxa"/>
            <w:noWrap/>
            <w:hideMark/>
          </w:tcPr>
          <w:p w14:paraId="51DE46B7"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rPr>
            </w:pPr>
            <w:r w:rsidRPr="00346DCA">
              <w:rPr>
                <w:rFonts w:eastAsia="Times New Roman" w:cs="Times New Roman"/>
                <w:color w:val="000000"/>
                <w:sz w:val="18"/>
              </w:rPr>
              <w:t>454</w:t>
            </w:r>
          </w:p>
        </w:tc>
        <w:tc>
          <w:tcPr>
            <w:tcW w:w="1467" w:type="dxa"/>
            <w:noWrap/>
            <w:hideMark/>
          </w:tcPr>
          <w:p w14:paraId="574BBD62"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rPr>
            </w:pPr>
            <w:r w:rsidRPr="00346DCA">
              <w:rPr>
                <w:rFonts w:eastAsia="Times New Roman" w:cs="Times New Roman"/>
                <w:color w:val="000000"/>
                <w:sz w:val="18"/>
              </w:rPr>
              <w:t>473</w:t>
            </w:r>
          </w:p>
        </w:tc>
        <w:tc>
          <w:tcPr>
            <w:tcW w:w="1467" w:type="dxa"/>
            <w:noWrap/>
            <w:hideMark/>
          </w:tcPr>
          <w:p w14:paraId="0FAD4FD1" w14:textId="77777777" w:rsidR="003A4DC5" w:rsidRPr="00346DCA" w:rsidRDefault="003A4DC5" w:rsidP="003A4DC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rPr>
            </w:pPr>
            <w:r w:rsidRPr="00346DCA">
              <w:rPr>
                <w:rFonts w:eastAsia="Times New Roman" w:cs="Times New Roman"/>
                <w:color w:val="000000"/>
                <w:sz w:val="18"/>
              </w:rPr>
              <w:t>550</w:t>
            </w:r>
          </w:p>
        </w:tc>
      </w:tr>
      <w:tr w:rsidR="003A4DC5" w:rsidRPr="00346DCA" w14:paraId="253401D4" w14:textId="77777777" w:rsidTr="003A4DC5">
        <w:trPr>
          <w:trHeight w:val="2"/>
        </w:trPr>
        <w:tc>
          <w:tcPr>
            <w:cnfStyle w:val="001000000000" w:firstRow="0" w:lastRow="0" w:firstColumn="1" w:lastColumn="0" w:oddVBand="0" w:evenVBand="0" w:oddHBand="0" w:evenHBand="0" w:firstRowFirstColumn="0" w:firstRowLastColumn="0" w:lastRowFirstColumn="0" w:lastRowLastColumn="0"/>
            <w:tcW w:w="2977" w:type="dxa"/>
            <w:noWrap/>
          </w:tcPr>
          <w:p w14:paraId="362FB9BD" w14:textId="77777777" w:rsidR="003A4DC5" w:rsidRPr="00346DCA" w:rsidRDefault="003A4DC5" w:rsidP="003A4DC5">
            <w:pPr>
              <w:spacing w:line="276" w:lineRule="auto"/>
              <w:rPr>
                <w:rFonts w:eastAsia="Times New Roman" w:cs="Times New Roman"/>
                <w:bCs w:val="0"/>
                <w:color w:val="000000"/>
                <w:sz w:val="18"/>
              </w:rPr>
            </w:pPr>
            <w:r w:rsidRPr="00346DCA">
              <w:rPr>
                <w:rFonts w:eastAsia="Times New Roman" w:cs="Times New Roman"/>
                <w:i/>
                <w:iCs/>
                <w:color w:val="000000"/>
                <w:sz w:val="18"/>
              </w:rPr>
              <w:t>Difference (v Capital Plan)</w:t>
            </w:r>
          </w:p>
        </w:tc>
        <w:tc>
          <w:tcPr>
            <w:tcW w:w="1169" w:type="dxa"/>
            <w:noWrap/>
          </w:tcPr>
          <w:p w14:paraId="5FF54F4A"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rPr>
            </w:pPr>
            <w:r w:rsidRPr="00346DCA">
              <w:rPr>
                <w:rFonts w:eastAsia="Times New Roman" w:cs="Times New Roman"/>
                <w:i/>
                <w:color w:val="000000"/>
                <w:sz w:val="18"/>
              </w:rPr>
              <w:t>0</w:t>
            </w:r>
          </w:p>
        </w:tc>
        <w:tc>
          <w:tcPr>
            <w:tcW w:w="1467" w:type="dxa"/>
            <w:noWrap/>
          </w:tcPr>
          <w:p w14:paraId="60EFBC99"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rPr>
            </w:pPr>
            <w:r w:rsidRPr="00346DCA">
              <w:rPr>
                <w:rFonts w:eastAsia="Times New Roman" w:cs="Times New Roman"/>
                <w:i/>
                <w:color w:val="000000"/>
                <w:sz w:val="18"/>
              </w:rPr>
              <w:t>0</w:t>
            </w:r>
          </w:p>
        </w:tc>
        <w:tc>
          <w:tcPr>
            <w:tcW w:w="1467" w:type="dxa"/>
            <w:noWrap/>
          </w:tcPr>
          <w:p w14:paraId="682316F1" w14:textId="77777777" w:rsidR="003A4DC5" w:rsidRPr="00346DCA" w:rsidRDefault="003A4DC5" w:rsidP="003A4DC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rPr>
            </w:pPr>
            <w:r w:rsidRPr="00346DCA">
              <w:rPr>
                <w:rFonts w:eastAsia="Times New Roman" w:cs="Times New Roman"/>
                <w:i/>
                <w:color w:val="000000"/>
                <w:sz w:val="18"/>
              </w:rPr>
              <w:t>0</w:t>
            </w:r>
          </w:p>
        </w:tc>
      </w:tr>
    </w:tbl>
    <w:p w14:paraId="5736F988" w14:textId="160CA62F" w:rsidR="003A4DC5" w:rsidRPr="005D6F2D" w:rsidRDefault="003A4DC5" w:rsidP="003A4DC5">
      <w:pPr>
        <w:pStyle w:val="DKMBodyText"/>
        <w:spacing w:line="276" w:lineRule="auto"/>
        <w:rPr>
          <w:rFonts w:asciiTheme="minorHAnsi" w:hAnsiTheme="minorHAnsi"/>
          <w:sz w:val="18"/>
          <w:szCs w:val="18"/>
        </w:rPr>
      </w:pPr>
      <w:r w:rsidRPr="005D6F2D">
        <w:rPr>
          <w:rFonts w:asciiTheme="minorHAnsi" w:hAnsiTheme="minorHAnsi"/>
          <w:sz w:val="18"/>
          <w:szCs w:val="18"/>
        </w:rPr>
        <w:t xml:space="preserve">Source: Capital Plan, Budget 2017, Revised Estimates </w:t>
      </w:r>
      <w:r w:rsidR="00B0088A" w:rsidRPr="005D6F2D">
        <w:rPr>
          <w:rFonts w:asciiTheme="minorHAnsi" w:hAnsiTheme="minorHAnsi"/>
          <w:sz w:val="18"/>
          <w:szCs w:val="18"/>
        </w:rPr>
        <w:t xml:space="preserve">for Public Services </w:t>
      </w:r>
      <w:r w:rsidRPr="005D6F2D">
        <w:rPr>
          <w:rFonts w:asciiTheme="minorHAnsi" w:hAnsiTheme="minorHAnsi"/>
          <w:sz w:val="18"/>
          <w:szCs w:val="18"/>
        </w:rPr>
        <w:t>2017</w:t>
      </w:r>
      <w:r w:rsidR="00B0088A" w:rsidRPr="005D6F2D">
        <w:rPr>
          <w:rFonts w:asciiTheme="minorHAnsi" w:hAnsiTheme="minorHAnsi"/>
          <w:sz w:val="18"/>
          <w:szCs w:val="18"/>
        </w:rPr>
        <w:t>.</w:t>
      </w:r>
      <w:r w:rsidR="00FB47F0" w:rsidRPr="005D6F2D">
        <w:rPr>
          <w:rFonts w:asciiTheme="minorHAnsi" w:hAnsiTheme="minorHAnsi"/>
          <w:sz w:val="18"/>
          <w:szCs w:val="18"/>
        </w:rPr>
        <w:t xml:space="preserve"> </w:t>
      </w:r>
    </w:p>
    <w:p w14:paraId="2F0B8DAC" w14:textId="179A6F01" w:rsidR="00D65896" w:rsidRPr="00D65896" w:rsidRDefault="007B2C7B" w:rsidP="00BE1CCF">
      <w:pPr>
        <w:pStyle w:val="Heading3"/>
        <w:widowControl w:val="0"/>
        <w:spacing w:before="0"/>
        <w:rPr>
          <w:rFonts w:asciiTheme="minorHAnsi" w:eastAsiaTheme="minorHAnsi" w:hAnsiTheme="minorHAnsi" w:cstheme="minorBidi"/>
          <w:b w:val="0"/>
          <w:bCs w:val="0"/>
          <w:color w:val="auto"/>
          <w:sz w:val="20"/>
          <w:szCs w:val="20"/>
          <w:lang w:eastAsia="en-US"/>
        </w:rPr>
      </w:pPr>
      <w:r>
        <w:rPr>
          <w:rFonts w:asciiTheme="minorHAnsi" w:eastAsiaTheme="minorHAnsi" w:hAnsiTheme="minorHAnsi" w:cstheme="minorBidi"/>
          <w:b w:val="0"/>
          <w:bCs w:val="0"/>
          <w:color w:val="auto"/>
          <w:sz w:val="20"/>
          <w:szCs w:val="20"/>
          <w:lang w:eastAsia="en-US"/>
        </w:rPr>
        <w:t>The key issue with the Health budget is that it is currently funding a small number of very large projects, many of which will require s</w:t>
      </w:r>
      <w:r w:rsidR="00AF438D">
        <w:rPr>
          <w:rFonts w:asciiTheme="minorHAnsi" w:eastAsiaTheme="minorHAnsi" w:hAnsiTheme="minorHAnsi" w:cstheme="minorBidi"/>
          <w:b w:val="0"/>
          <w:bCs w:val="0"/>
          <w:color w:val="auto"/>
          <w:sz w:val="20"/>
          <w:szCs w:val="20"/>
          <w:lang w:eastAsia="en-US"/>
        </w:rPr>
        <w:t>i</w:t>
      </w:r>
      <w:r>
        <w:rPr>
          <w:rFonts w:asciiTheme="minorHAnsi" w:eastAsiaTheme="minorHAnsi" w:hAnsiTheme="minorHAnsi" w:cstheme="minorBidi"/>
          <w:b w:val="0"/>
          <w:bCs w:val="0"/>
          <w:color w:val="auto"/>
          <w:sz w:val="20"/>
          <w:szCs w:val="20"/>
          <w:lang w:eastAsia="en-US"/>
        </w:rPr>
        <w:t xml:space="preserve">gnificant funding up to 2020.  </w:t>
      </w:r>
      <w:r w:rsidR="00AF438D">
        <w:rPr>
          <w:rFonts w:asciiTheme="minorHAnsi" w:eastAsiaTheme="minorHAnsi" w:hAnsiTheme="minorHAnsi" w:cstheme="minorBidi"/>
          <w:b w:val="0"/>
          <w:bCs w:val="0"/>
          <w:color w:val="auto"/>
          <w:sz w:val="20"/>
          <w:szCs w:val="20"/>
          <w:lang w:eastAsia="en-US"/>
        </w:rPr>
        <w:t xml:space="preserve">This leaves limited </w:t>
      </w:r>
      <w:r>
        <w:rPr>
          <w:rFonts w:asciiTheme="minorHAnsi" w:eastAsiaTheme="minorHAnsi" w:hAnsiTheme="minorHAnsi" w:cstheme="minorBidi"/>
          <w:b w:val="0"/>
          <w:bCs w:val="0"/>
          <w:color w:val="auto"/>
          <w:sz w:val="20"/>
          <w:szCs w:val="20"/>
          <w:lang w:eastAsia="en-US"/>
        </w:rPr>
        <w:t>funding</w:t>
      </w:r>
      <w:r w:rsidR="00AF438D">
        <w:rPr>
          <w:rFonts w:asciiTheme="minorHAnsi" w:eastAsiaTheme="minorHAnsi" w:hAnsiTheme="minorHAnsi" w:cstheme="minorBidi"/>
          <w:b w:val="0"/>
          <w:bCs w:val="0"/>
          <w:color w:val="auto"/>
          <w:sz w:val="20"/>
          <w:szCs w:val="20"/>
          <w:lang w:eastAsia="en-US"/>
        </w:rPr>
        <w:t>, if any,</w:t>
      </w:r>
      <w:r>
        <w:rPr>
          <w:rFonts w:asciiTheme="minorHAnsi" w:eastAsiaTheme="minorHAnsi" w:hAnsiTheme="minorHAnsi" w:cstheme="minorBidi"/>
          <w:b w:val="0"/>
          <w:bCs w:val="0"/>
          <w:color w:val="auto"/>
          <w:sz w:val="20"/>
          <w:szCs w:val="20"/>
          <w:lang w:eastAsia="en-US"/>
        </w:rPr>
        <w:t xml:space="preserve"> </w:t>
      </w:r>
      <w:r w:rsidR="00473810">
        <w:rPr>
          <w:rFonts w:asciiTheme="minorHAnsi" w:eastAsiaTheme="minorHAnsi" w:hAnsiTheme="minorHAnsi" w:cstheme="minorBidi"/>
          <w:b w:val="0"/>
          <w:bCs w:val="0"/>
          <w:color w:val="auto"/>
          <w:sz w:val="20"/>
          <w:szCs w:val="20"/>
          <w:lang w:eastAsia="en-US"/>
        </w:rPr>
        <w:t>for</w:t>
      </w:r>
      <w:r>
        <w:rPr>
          <w:rFonts w:asciiTheme="minorHAnsi" w:eastAsiaTheme="minorHAnsi" w:hAnsiTheme="minorHAnsi" w:cstheme="minorBidi"/>
          <w:b w:val="0"/>
          <w:bCs w:val="0"/>
          <w:color w:val="auto"/>
          <w:sz w:val="20"/>
          <w:szCs w:val="20"/>
          <w:lang w:eastAsia="en-US"/>
        </w:rPr>
        <w:t xml:space="preserve"> smaller projects.</w:t>
      </w:r>
    </w:p>
    <w:p w14:paraId="6946CF48" w14:textId="77777777" w:rsidR="00D65896" w:rsidRDefault="00D65896" w:rsidP="00BE1CCF">
      <w:pPr>
        <w:pStyle w:val="Heading3"/>
        <w:widowControl w:val="0"/>
        <w:spacing w:before="0"/>
        <w:rPr>
          <w:rFonts w:asciiTheme="minorHAnsi" w:eastAsiaTheme="minorHAnsi" w:hAnsiTheme="minorHAnsi" w:cstheme="minorBidi"/>
          <w:b w:val="0"/>
          <w:bCs w:val="0"/>
          <w:color w:val="auto"/>
          <w:sz w:val="20"/>
          <w:szCs w:val="20"/>
          <w:lang w:eastAsia="en-US"/>
        </w:rPr>
      </w:pPr>
    </w:p>
    <w:p w14:paraId="149C1B37" w14:textId="7DFA2DB3" w:rsidR="00D65896" w:rsidRDefault="002A022F" w:rsidP="00BE1CCF">
      <w:pPr>
        <w:pStyle w:val="Heading3"/>
        <w:widowControl w:val="0"/>
        <w:spacing w:before="0"/>
        <w:rPr>
          <w:rFonts w:asciiTheme="minorHAnsi" w:eastAsiaTheme="minorHAnsi" w:hAnsiTheme="minorHAnsi" w:cstheme="minorBidi"/>
          <w:b w:val="0"/>
          <w:bCs w:val="0"/>
          <w:color w:val="auto"/>
          <w:sz w:val="20"/>
          <w:szCs w:val="20"/>
          <w:lang w:eastAsia="en-US"/>
        </w:rPr>
      </w:pPr>
      <w:r w:rsidRPr="002A022F">
        <w:rPr>
          <w:rFonts w:asciiTheme="minorHAnsi" w:eastAsiaTheme="minorHAnsi" w:hAnsiTheme="minorHAnsi" w:cstheme="minorBidi"/>
          <w:b w:val="0"/>
          <w:bCs w:val="0"/>
          <w:color w:val="auto"/>
          <w:sz w:val="20"/>
          <w:szCs w:val="20"/>
          <w:lang w:eastAsia="en-US"/>
        </w:rPr>
        <w:t xml:space="preserve">The Assistant National Director of Capital and Property in the HSE recently stated that the sector </w:t>
      </w:r>
      <w:r w:rsidR="00B0088A">
        <w:rPr>
          <w:rFonts w:asciiTheme="minorHAnsi" w:eastAsiaTheme="minorHAnsi" w:hAnsiTheme="minorHAnsi" w:cstheme="minorBidi"/>
          <w:b w:val="0"/>
          <w:bCs w:val="0"/>
          <w:color w:val="auto"/>
          <w:sz w:val="20"/>
          <w:szCs w:val="20"/>
          <w:lang w:eastAsia="en-US"/>
        </w:rPr>
        <w:t xml:space="preserve">would </w:t>
      </w:r>
      <w:r w:rsidRPr="002A022F">
        <w:rPr>
          <w:rFonts w:asciiTheme="minorHAnsi" w:eastAsiaTheme="minorHAnsi" w:hAnsiTheme="minorHAnsi" w:cstheme="minorBidi"/>
          <w:b w:val="0"/>
          <w:bCs w:val="0"/>
          <w:color w:val="auto"/>
          <w:sz w:val="20"/>
          <w:szCs w:val="20"/>
          <w:lang w:eastAsia="en-US"/>
        </w:rPr>
        <w:t>need a total investment of €9</w:t>
      </w:r>
      <w:r w:rsidR="00473810">
        <w:rPr>
          <w:rFonts w:asciiTheme="minorHAnsi" w:eastAsiaTheme="minorHAnsi" w:hAnsiTheme="minorHAnsi" w:cstheme="minorBidi"/>
          <w:b w:val="0"/>
          <w:bCs w:val="0"/>
          <w:color w:val="auto"/>
          <w:sz w:val="20"/>
          <w:szCs w:val="20"/>
          <w:lang w:eastAsia="en-US"/>
        </w:rPr>
        <w:t xml:space="preserve"> billion</w:t>
      </w:r>
      <w:r w:rsidRPr="002A022F">
        <w:rPr>
          <w:rFonts w:asciiTheme="minorHAnsi" w:eastAsiaTheme="minorHAnsi" w:hAnsiTheme="minorHAnsi" w:cstheme="minorBidi"/>
          <w:b w:val="0"/>
          <w:bCs w:val="0"/>
          <w:color w:val="auto"/>
          <w:sz w:val="20"/>
          <w:szCs w:val="20"/>
          <w:lang w:eastAsia="en-US"/>
        </w:rPr>
        <w:t xml:space="preserve"> over </w:t>
      </w:r>
      <w:r w:rsidR="00A63FE8">
        <w:rPr>
          <w:rFonts w:asciiTheme="minorHAnsi" w:eastAsiaTheme="minorHAnsi" w:hAnsiTheme="minorHAnsi" w:cstheme="minorBidi"/>
          <w:b w:val="0"/>
          <w:bCs w:val="0"/>
          <w:color w:val="auto"/>
          <w:sz w:val="20"/>
          <w:szCs w:val="20"/>
          <w:lang w:eastAsia="en-US"/>
        </w:rPr>
        <w:t xml:space="preserve">the </w:t>
      </w:r>
      <w:r w:rsidRPr="002A022F">
        <w:rPr>
          <w:rFonts w:asciiTheme="minorHAnsi" w:eastAsiaTheme="minorHAnsi" w:hAnsiTheme="minorHAnsi" w:cstheme="minorBidi"/>
          <w:b w:val="0"/>
          <w:bCs w:val="0"/>
          <w:color w:val="auto"/>
          <w:sz w:val="20"/>
          <w:szCs w:val="20"/>
          <w:lang w:eastAsia="en-US"/>
        </w:rPr>
        <w:t>next ten years</w:t>
      </w:r>
      <w:r w:rsidR="00B0088A">
        <w:rPr>
          <w:rFonts w:asciiTheme="minorHAnsi" w:eastAsiaTheme="minorHAnsi" w:hAnsiTheme="minorHAnsi" w:cstheme="minorBidi"/>
          <w:b w:val="0"/>
          <w:bCs w:val="0"/>
          <w:color w:val="auto"/>
          <w:sz w:val="20"/>
          <w:szCs w:val="20"/>
          <w:lang w:eastAsia="en-US"/>
        </w:rPr>
        <w:t xml:space="preserve"> if healthcare policies are to be implemented</w:t>
      </w:r>
      <w:r w:rsidR="00D65896">
        <w:rPr>
          <w:rFonts w:asciiTheme="minorHAnsi" w:eastAsiaTheme="minorHAnsi" w:hAnsiTheme="minorHAnsi" w:cstheme="minorBidi"/>
          <w:b w:val="0"/>
          <w:bCs w:val="0"/>
          <w:color w:val="auto"/>
          <w:sz w:val="20"/>
          <w:szCs w:val="20"/>
          <w:lang w:eastAsia="en-US"/>
        </w:rPr>
        <w:t xml:space="preserve"> and existing outdated facilities are to be replaced</w:t>
      </w:r>
      <w:r w:rsidR="00AF438D">
        <w:rPr>
          <w:rStyle w:val="FootnoteReference"/>
          <w:rFonts w:asciiTheme="minorHAnsi" w:eastAsiaTheme="minorHAnsi" w:hAnsiTheme="minorHAnsi" w:cstheme="minorBidi"/>
          <w:b w:val="0"/>
          <w:bCs w:val="0"/>
          <w:color w:val="auto"/>
          <w:sz w:val="20"/>
          <w:szCs w:val="20"/>
          <w:lang w:eastAsia="en-US"/>
        </w:rPr>
        <w:footnoteReference w:id="60"/>
      </w:r>
      <w:r w:rsidRPr="002A022F">
        <w:rPr>
          <w:rFonts w:asciiTheme="minorHAnsi" w:eastAsiaTheme="minorHAnsi" w:hAnsiTheme="minorHAnsi" w:cstheme="minorBidi"/>
          <w:b w:val="0"/>
          <w:bCs w:val="0"/>
          <w:color w:val="auto"/>
          <w:sz w:val="20"/>
          <w:szCs w:val="20"/>
          <w:lang w:eastAsia="en-US"/>
        </w:rPr>
        <w:t xml:space="preserve">. In terms of construction projects, the Capital Plan is investing some </w:t>
      </w:r>
      <w:r w:rsidR="00B0088A">
        <w:rPr>
          <w:rFonts w:asciiTheme="minorHAnsi" w:eastAsiaTheme="minorHAnsi" w:hAnsiTheme="minorHAnsi" w:cstheme="minorBidi"/>
          <w:b w:val="0"/>
          <w:bCs w:val="0"/>
          <w:color w:val="auto"/>
          <w:sz w:val="20"/>
          <w:szCs w:val="20"/>
          <w:lang w:eastAsia="en-US"/>
        </w:rPr>
        <w:t>€</w:t>
      </w:r>
      <w:r w:rsidRPr="002A022F">
        <w:rPr>
          <w:rFonts w:asciiTheme="minorHAnsi" w:eastAsiaTheme="minorHAnsi" w:hAnsiTheme="minorHAnsi" w:cstheme="minorBidi"/>
          <w:b w:val="0"/>
          <w:bCs w:val="0"/>
          <w:color w:val="auto"/>
          <w:sz w:val="20"/>
          <w:szCs w:val="20"/>
          <w:lang w:eastAsia="en-US"/>
        </w:rPr>
        <w:t>2.3</w:t>
      </w:r>
      <w:r w:rsidR="00473810">
        <w:rPr>
          <w:rFonts w:asciiTheme="minorHAnsi" w:eastAsiaTheme="minorHAnsi" w:hAnsiTheme="minorHAnsi" w:cstheme="minorBidi"/>
          <w:b w:val="0"/>
          <w:bCs w:val="0"/>
          <w:color w:val="auto"/>
          <w:sz w:val="20"/>
          <w:szCs w:val="20"/>
          <w:lang w:eastAsia="en-US"/>
        </w:rPr>
        <w:t xml:space="preserve"> billion</w:t>
      </w:r>
      <w:r w:rsidRPr="002A022F">
        <w:rPr>
          <w:rFonts w:asciiTheme="minorHAnsi" w:eastAsiaTheme="minorHAnsi" w:hAnsiTheme="minorHAnsi" w:cstheme="minorBidi"/>
          <w:b w:val="0"/>
          <w:bCs w:val="0"/>
          <w:color w:val="auto"/>
          <w:sz w:val="20"/>
          <w:szCs w:val="20"/>
          <w:lang w:eastAsia="en-US"/>
        </w:rPr>
        <w:t xml:space="preserve"> up to 2021</w:t>
      </w:r>
      <w:r w:rsidR="00B0088A">
        <w:rPr>
          <w:rFonts w:asciiTheme="minorHAnsi" w:eastAsiaTheme="minorHAnsi" w:hAnsiTheme="minorHAnsi" w:cstheme="minorBidi"/>
          <w:b w:val="0"/>
          <w:bCs w:val="0"/>
          <w:color w:val="auto"/>
          <w:sz w:val="20"/>
          <w:szCs w:val="20"/>
          <w:lang w:eastAsia="en-US"/>
        </w:rPr>
        <w:t>. On the basis of a further estimated €2.5</w:t>
      </w:r>
      <w:r w:rsidR="00473810">
        <w:rPr>
          <w:rFonts w:asciiTheme="minorHAnsi" w:eastAsiaTheme="minorHAnsi" w:hAnsiTheme="minorHAnsi" w:cstheme="minorBidi"/>
          <w:b w:val="0"/>
          <w:bCs w:val="0"/>
          <w:color w:val="auto"/>
          <w:sz w:val="20"/>
          <w:szCs w:val="20"/>
          <w:lang w:eastAsia="en-US"/>
        </w:rPr>
        <w:t xml:space="preserve"> billion</w:t>
      </w:r>
      <w:r w:rsidR="00B0088A">
        <w:rPr>
          <w:rFonts w:asciiTheme="minorHAnsi" w:eastAsiaTheme="minorHAnsi" w:hAnsiTheme="minorHAnsi" w:cstheme="minorBidi"/>
          <w:b w:val="0"/>
          <w:bCs w:val="0"/>
          <w:color w:val="auto"/>
          <w:sz w:val="20"/>
          <w:szCs w:val="20"/>
          <w:lang w:eastAsia="en-US"/>
        </w:rPr>
        <w:t xml:space="preserve"> in the following five years to 2026, this </w:t>
      </w:r>
      <w:r w:rsidR="00AF438D">
        <w:rPr>
          <w:rFonts w:asciiTheme="minorHAnsi" w:eastAsiaTheme="minorHAnsi" w:hAnsiTheme="minorHAnsi" w:cstheme="minorBidi"/>
          <w:b w:val="0"/>
          <w:bCs w:val="0"/>
          <w:color w:val="auto"/>
          <w:sz w:val="20"/>
          <w:szCs w:val="20"/>
          <w:lang w:eastAsia="en-US"/>
        </w:rPr>
        <w:t xml:space="preserve">would </w:t>
      </w:r>
      <w:r w:rsidR="00B0088A">
        <w:rPr>
          <w:rFonts w:asciiTheme="minorHAnsi" w:eastAsiaTheme="minorHAnsi" w:hAnsiTheme="minorHAnsi" w:cstheme="minorBidi"/>
          <w:b w:val="0"/>
          <w:bCs w:val="0"/>
          <w:color w:val="auto"/>
          <w:sz w:val="20"/>
          <w:szCs w:val="20"/>
          <w:lang w:eastAsia="en-US"/>
        </w:rPr>
        <w:t>still leave a gap of €4.2</w:t>
      </w:r>
      <w:r w:rsidR="00473810">
        <w:rPr>
          <w:rFonts w:asciiTheme="minorHAnsi" w:eastAsiaTheme="minorHAnsi" w:hAnsiTheme="minorHAnsi" w:cstheme="minorBidi"/>
          <w:b w:val="0"/>
          <w:bCs w:val="0"/>
          <w:color w:val="auto"/>
          <w:sz w:val="20"/>
          <w:szCs w:val="20"/>
          <w:lang w:eastAsia="en-US"/>
        </w:rPr>
        <w:t xml:space="preserve"> billion</w:t>
      </w:r>
      <w:r w:rsidR="00B0088A">
        <w:rPr>
          <w:rFonts w:asciiTheme="minorHAnsi" w:eastAsiaTheme="minorHAnsi" w:hAnsiTheme="minorHAnsi" w:cstheme="minorBidi"/>
          <w:b w:val="0"/>
          <w:bCs w:val="0"/>
          <w:color w:val="auto"/>
          <w:sz w:val="20"/>
          <w:szCs w:val="20"/>
          <w:lang w:eastAsia="en-US"/>
        </w:rPr>
        <w:t xml:space="preserve"> to be</w:t>
      </w:r>
      <w:r w:rsidR="00D65896">
        <w:rPr>
          <w:rFonts w:asciiTheme="minorHAnsi" w:eastAsiaTheme="minorHAnsi" w:hAnsiTheme="minorHAnsi" w:cstheme="minorBidi"/>
          <w:b w:val="0"/>
          <w:bCs w:val="0"/>
          <w:color w:val="auto"/>
          <w:sz w:val="20"/>
          <w:szCs w:val="20"/>
          <w:lang w:eastAsia="en-US"/>
        </w:rPr>
        <w:t xml:space="preserve"> funded.</w:t>
      </w:r>
    </w:p>
    <w:p w14:paraId="2D3553BF" w14:textId="77777777" w:rsidR="0078022C" w:rsidRPr="00346DCA" w:rsidRDefault="0078022C" w:rsidP="00513210"/>
    <w:p w14:paraId="3CCF2837" w14:textId="77777777" w:rsidR="003A4DC5" w:rsidRPr="009D368D" w:rsidRDefault="003A4DC5" w:rsidP="00473810">
      <w:pPr>
        <w:pStyle w:val="DKMBodyText"/>
        <w:rPr>
          <w:rFonts w:asciiTheme="minorHAnsi" w:hAnsiTheme="minorHAnsi"/>
          <w:b/>
          <w:color w:val="005596"/>
          <w:sz w:val="20"/>
          <w:szCs w:val="20"/>
        </w:rPr>
      </w:pPr>
      <w:r w:rsidRPr="009D368D">
        <w:rPr>
          <w:rFonts w:asciiTheme="minorHAnsi" w:hAnsiTheme="minorHAnsi"/>
          <w:b/>
          <w:color w:val="005596"/>
          <w:sz w:val="20"/>
          <w:szCs w:val="20"/>
        </w:rPr>
        <w:t>Housing</w:t>
      </w:r>
    </w:p>
    <w:p w14:paraId="2074B56B" w14:textId="568855DE" w:rsidR="00BD0945" w:rsidRDefault="00BD0945" w:rsidP="00473810">
      <w:pPr>
        <w:autoSpaceDE w:val="0"/>
        <w:autoSpaceDN w:val="0"/>
        <w:adjustRightInd w:val="0"/>
        <w:rPr>
          <w:sz w:val="20"/>
          <w:szCs w:val="20"/>
        </w:rPr>
      </w:pPr>
      <w:r>
        <w:rPr>
          <w:sz w:val="20"/>
          <w:szCs w:val="20"/>
        </w:rPr>
        <w:t xml:space="preserve">The total allocation for the Department of the Environment, Community and Local Government in the Capital Plan </w:t>
      </w:r>
      <w:r w:rsidR="004360F5">
        <w:rPr>
          <w:sz w:val="20"/>
          <w:szCs w:val="20"/>
        </w:rPr>
        <w:t>i</w:t>
      </w:r>
      <w:r>
        <w:rPr>
          <w:sz w:val="20"/>
          <w:szCs w:val="20"/>
        </w:rPr>
        <w:t>s €3.96</w:t>
      </w:r>
      <w:r w:rsidR="00473810">
        <w:rPr>
          <w:sz w:val="20"/>
          <w:szCs w:val="20"/>
        </w:rPr>
        <w:t xml:space="preserve"> billion</w:t>
      </w:r>
      <w:r>
        <w:rPr>
          <w:sz w:val="20"/>
          <w:szCs w:val="20"/>
        </w:rPr>
        <w:t xml:space="preserve"> over the period 2016-2021. Within this total, €3</w:t>
      </w:r>
      <w:r w:rsidR="00473810">
        <w:rPr>
          <w:sz w:val="20"/>
          <w:szCs w:val="20"/>
        </w:rPr>
        <w:t xml:space="preserve"> billion</w:t>
      </w:r>
      <w:r>
        <w:rPr>
          <w:sz w:val="20"/>
          <w:szCs w:val="20"/>
        </w:rPr>
        <w:t xml:space="preserve"> </w:t>
      </w:r>
      <w:r w:rsidR="004360F5">
        <w:rPr>
          <w:sz w:val="20"/>
          <w:szCs w:val="20"/>
        </w:rPr>
        <w:t>i</w:t>
      </w:r>
      <w:r>
        <w:rPr>
          <w:sz w:val="20"/>
          <w:szCs w:val="20"/>
        </w:rPr>
        <w:t>s provided for social housing.</w:t>
      </w:r>
    </w:p>
    <w:p w14:paraId="69F1C2C7" w14:textId="77777777" w:rsidR="00BD0945" w:rsidRDefault="00BD0945" w:rsidP="00E43A20">
      <w:pPr>
        <w:autoSpaceDE w:val="0"/>
        <w:autoSpaceDN w:val="0"/>
        <w:adjustRightInd w:val="0"/>
        <w:rPr>
          <w:sz w:val="20"/>
          <w:szCs w:val="20"/>
        </w:rPr>
      </w:pPr>
    </w:p>
    <w:p w14:paraId="724688BD" w14:textId="309FB779" w:rsidR="003A4DC5" w:rsidRDefault="003A4DC5" w:rsidP="00473810">
      <w:pPr>
        <w:autoSpaceDE w:val="0"/>
        <w:autoSpaceDN w:val="0"/>
        <w:adjustRightInd w:val="0"/>
        <w:rPr>
          <w:rFonts w:cs="HelveticaNeue-Light"/>
          <w:sz w:val="20"/>
          <w:szCs w:val="20"/>
        </w:rPr>
      </w:pPr>
      <w:r w:rsidRPr="00E43A20">
        <w:rPr>
          <w:rFonts w:cs="HelveticaNeue-Light"/>
          <w:sz w:val="20"/>
          <w:szCs w:val="20"/>
        </w:rPr>
        <w:t xml:space="preserve">Following </w:t>
      </w:r>
      <w:r w:rsidR="00ED32FB">
        <w:rPr>
          <w:rFonts w:cs="HelveticaNeue-Light"/>
          <w:sz w:val="20"/>
          <w:szCs w:val="20"/>
        </w:rPr>
        <w:t xml:space="preserve">the 2016 </w:t>
      </w:r>
      <w:r w:rsidRPr="00E43A20">
        <w:rPr>
          <w:rFonts w:cs="HelveticaNeue-Light"/>
          <w:sz w:val="20"/>
          <w:szCs w:val="20"/>
        </w:rPr>
        <w:t xml:space="preserve">General Election, </w:t>
      </w:r>
      <w:r w:rsidRPr="00ED32FB">
        <w:rPr>
          <w:rFonts w:cs="HelveticaNeue-Light"/>
          <w:sz w:val="20"/>
          <w:szCs w:val="20"/>
        </w:rPr>
        <w:t>Budget 2017</w:t>
      </w:r>
      <w:r w:rsidRPr="00E43A20">
        <w:rPr>
          <w:rFonts w:cs="HelveticaNeue-Light"/>
          <w:sz w:val="20"/>
          <w:szCs w:val="20"/>
        </w:rPr>
        <w:t xml:space="preserve"> allocated </w:t>
      </w:r>
      <w:r w:rsidRPr="00513210">
        <w:rPr>
          <w:rFonts w:cs="HelveticaNeue-Light"/>
          <w:sz w:val="20"/>
          <w:szCs w:val="20"/>
        </w:rPr>
        <w:t>€702</w:t>
      </w:r>
      <w:r w:rsidRPr="00E43A20">
        <w:rPr>
          <w:rFonts w:cs="HelveticaNeue-Light"/>
          <w:sz w:val="20"/>
          <w:szCs w:val="20"/>
        </w:rPr>
        <w:t xml:space="preserve"> million to the restructured Department of Housing, Planning, Community and Local Government for capital expenditure in 201</w:t>
      </w:r>
      <w:r w:rsidR="00ED32FB">
        <w:rPr>
          <w:rFonts w:cs="HelveticaNeue-Light"/>
          <w:sz w:val="20"/>
          <w:szCs w:val="20"/>
        </w:rPr>
        <w:t>7.</w:t>
      </w:r>
      <w:r w:rsidRPr="00E43A20">
        <w:rPr>
          <w:rFonts w:cs="HelveticaNeue-Light"/>
          <w:sz w:val="20"/>
          <w:szCs w:val="20"/>
        </w:rPr>
        <w:t xml:space="preserve"> €655 million of this allocation </w:t>
      </w:r>
      <w:r w:rsidR="00E13A2B">
        <w:rPr>
          <w:rFonts w:cs="HelveticaNeue-Light"/>
          <w:sz w:val="20"/>
          <w:szCs w:val="20"/>
        </w:rPr>
        <w:t>is for</w:t>
      </w:r>
      <w:r w:rsidRPr="00E43A20">
        <w:rPr>
          <w:rFonts w:cs="HelveticaNeue-Light"/>
          <w:sz w:val="20"/>
          <w:szCs w:val="20"/>
        </w:rPr>
        <w:t xml:space="preserve"> housing. Altogether, since the </w:t>
      </w:r>
      <w:r w:rsidRPr="00E13A2B">
        <w:rPr>
          <w:rFonts w:cs="HelveticaNeue-Light"/>
          <w:sz w:val="20"/>
          <w:szCs w:val="20"/>
        </w:rPr>
        <w:t>Capital Plan</w:t>
      </w:r>
      <w:r w:rsidR="00E13A2B">
        <w:rPr>
          <w:rFonts w:cs="HelveticaNeue-Light"/>
          <w:sz w:val="20"/>
          <w:szCs w:val="20"/>
        </w:rPr>
        <w:t>, there has been</w:t>
      </w:r>
      <w:r w:rsidRPr="00E13A2B">
        <w:rPr>
          <w:rFonts w:cs="HelveticaNeue-Light"/>
          <w:sz w:val="20"/>
          <w:szCs w:val="20"/>
        </w:rPr>
        <w:t xml:space="preserve"> </w:t>
      </w:r>
      <w:r w:rsidRPr="00E43A20">
        <w:rPr>
          <w:rFonts w:cs="HelveticaNeue-Light"/>
          <w:sz w:val="20"/>
          <w:szCs w:val="20"/>
        </w:rPr>
        <w:t>an additional €240 million allocated to the Department for the period 2017 to 2019.</w:t>
      </w:r>
    </w:p>
    <w:p w14:paraId="62CD194A" w14:textId="77777777" w:rsidR="008E47D7" w:rsidRPr="00E43A20" w:rsidRDefault="008E47D7" w:rsidP="00473810">
      <w:pPr>
        <w:autoSpaceDE w:val="0"/>
        <w:autoSpaceDN w:val="0"/>
        <w:adjustRightInd w:val="0"/>
        <w:rPr>
          <w:rFonts w:cs="HelveticaNeue-Light"/>
          <w:sz w:val="20"/>
          <w:szCs w:val="20"/>
        </w:rPr>
      </w:pPr>
    </w:p>
    <w:p w14:paraId="16F8B4CC" w14:textId="1E2EDBDA" w:rsidR="003A4DC5" w:rsidRPr="00346DCA" w:rsidRDefault="003A4DC5" w:rsidP="003A4DC5">
      <w:pPr>
        <w:pStyle w:val="DKMTable"/>
        <w:spacing w:line="276" w:lineRule="auto"/>
        <w:rPr>
          <w:sz w:val="20"/>
        </w:rPr>
      </w:pPr>
      <w:bookmarkStart w:id="37" w:name="_Toc478116724"/>
      <w:r w:rsidRPr="00346DCA">
        <w:rPr>
          <w:sz w:val="20"/>
        </w:rPr>
        <w:t>Housing, Planning</w:t>
      </w:r>
      <w:r w:rsidR="003D53EB">
        <w:rPr>
          <w:sz w:val="20"/>
        </w:rPr>
        <w:t>, Community</w:t>
      </w:r>
      <w:r w:rsidRPr="00346DCA">
        <w:rPr>
          <w:sz w:val="20"/>
        </w:rPr>
        <w:t xml:space="preserve"> &amp; Local Government: </w:t>
      </w:r>
      <w:r w:rsidR="003D53EB">
        <w:rPr>
          <w:sz w:val="20"/>
        </w:rPr>
        <w:t>Exchequer</w:t>
      </w:r>
      <w:r w:rsidRPr="00346DCA">
        <w:rPr>
          <w:sz w:val="20"/>
        </w:rPr>
        <w:t xml:space="preserve"> Capital Expenditure </w:t>
      </w:r>
      <w:r w:rsidR="003D53EB">
        <w:rPr>
          <w:sz w:val="20"/>
        </w:rPr>
        <w:t>and PCP Housing (€m</w:t>
      </w:r>
      <w:r w:rsidR="00FD7208">
        <w:rPr>
          <w:sz w:val="20"/>
        </w:rPr>
        <w:t>)</w:t>
      </w:r>
      <w:bookmarkEnd w:id="37"/>
    </w:p>
    <w:tbl>
      <w:tblPr>
        <w:tblStyle w:val="ColorfulList-Accent1"/>
        <w:tblW w:w="0" w:type="auto"/>
        <w:tblLook w:val="04A0" w:firstRow="1" w:lastRow="0" w:firstColumn="1" w:lastColumn="0" w:noHBand="0" w:noVBand="1"/>
      </w:tblPr>
      <w:tblGrid>
        <w:gridCol w:w="3385"/>
        <w:gridCol w:w="630"/>
        <w:gridCol w:w="1719"/>
        <w:gridCol w:w="1578"/>
      </w:tblGrid>
      <w:tr w:rsidR="003A4DC5" w:rsidRPr="00346DCA" w14:paraId="0EF7C2EC" w14:textId="77777777" w:rsidTr="00E43A2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85" w:type="dxa"/>
          </w:tcPr>
          <w:p w14:paraId="5E3CAC95" w14:textId="77777777" w:rsidR="003A4DC5" w:rsidRPr="00346DCA" w:rsidRDefault="003A4DC5" w:rsidP="004360F5">
            <w:pPr>
              <w:autoSpaceDE w:val="0"/>
              <w:autoSpaceDN w:val="0"/>
              <w:adjustRightInd w:val="0"/>
              <w:spacing w:line="240" w:lineRule="auto"/>
              <w:rPr>
                <w:rFonts w:cs="HelveticaNeue-Light"/>
                <w:sz w:val="18"/>
              </w:rPr>
            </w:pPr>
          </w:p>
        </w:tc>
        <w:tc>
          <w:tcPr>
            <w:tcW w:w="630" w:type="dxa"/>
          </w:tcPr>
          <w:p w14:paraId="58B5ABFD" w14:textId="77777777" w:rsidR="003A4DC5" w:rsidRPr="00346DCA" w:rsidRDefault="003A4DC5" w:rsidP="004360F5">
            <w:pPr>
              <w:autoSpaceDE w:val="0"/>
              <w:autoSpaceDN w:val="0"/>
              <w:adjustRightInd w:val="0"/>
              <w:spacing w:line="240" w:lineRule="auto"/>
              <w:jc w:val="right"/>
              <w:cnfStyle w:val="100000000000" w:firstRow="1"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2017</w:t>
            </w:r>
          </w:p>
        </w:tc>
        <w:tc>
          <w:tcPr>
            <w:tcW w:w="1719" w:type="dxa"/>
          </w:tcPr>
          <w:p w14:paraId="4C93FD46" w14:textId="77777777" w:rsidR="003A4DC5" w:rsidRPr="00346DCA" w:rsidRDefault="003A4DC5" w:rsidP="004360F5">
            <w:pPr>
              <w:autoSpaceDE w:val="0"/>
              <w:autoSpaceDN w:val="0"/>
              <w:adjustRightInd w:val="0"/>
              <w:spacing w:line="240" w:lineRule="auto"/>
              <w:jc w:val="right"/>
              <w:cnfStyle w:val="100000000000" w:firstRow="1"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2018</w:t>
            </w:r>
          </w:p>
        </w:tc>
        <w:tc>
          <w:tcPr>
            <w:tcW w:w="1578" w:type="dxa"/>
          </w:tcPr>
          <w:p w14:paraId="646843A3" w14:textId="77777777" w:rsidR="003A4DC5" w:rsidRPr="00346DCA" w:rsidRDefault="003A4DC5" w:rsidP="004360F5">
            <w:pPr>
              <w:autoSpaceDE w:val="0"/>
              <w:autoSpaceDN w:val="0"/>
              <w:adjustRightInd w:val="0"/>
              <w:spacing w:line="240" w:lineRule="auto"/>
              <w:jc w:val="right"/>
              <w:cnfStyle w:val="100000000000" w:firstRow="1"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2019</w:t>
            </w:r>
          </w:p>
        </w:tc>
      </w:tr>
      <w:tr w:rsidR="003A4DC5" w:rsidRPr="00346DCA" w14:paraId="30B825F0"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85" w:type="dxa"/>
          </w:tcPr>
          <w:p w14:paraId="51FD9121" w14:textId="77777777" w:rsidR="003A4DC5" w:rsidRPr="00346DCA" w:rsidRDefault="003A4DC5" w:rsidP="004360F5">
            <w:pPr>
              <w:autoSpaceDE w:val="0"/>
              <w:autoSpaceDN w:val="0"/>
              <w:adjustRightInd w:val="0"/>
              <w:spacing w:line="240" w:lineRule="auto"/>
              <w:rPr>
                <w:rFonts w:cs="HelveticaNeue-Light"/>
                <w:sz w:val="18"/>
              </w:rPr>
            </w:pPr>
            <w:r w:rsidRPr="00346DCA">
              <w:rPr>
                <w:rFonts w:cs="HelveticaNeue-Light"/>
                <w:sz w:val="18"/>
              </w:rPr>
              <w:t>Capital Plan</w:t>
            </w:r>
            <w:r w:rsidRPr="00346DCA">
              <w:rPr>
                <w:rStyle w:val="FootnoteReference"/>
                <w:rFonts w:cs="HelveticaNeue-Light"/>
                <w:sz w:val="18"/>
              </w:rPr>
              <w:footnoteReference w:id="61"/>
            </w:r>
            <w:r w:rsidRPr="00346DCA">
              <w:rPr>
                <w:rFonts w:cs="HelveticaNeue-Light"/>
                <w:sz w:val="18"/>
              </w:rPr>
              <w:t xml:space="preserve"> </w:t>
            </w:r>
          </w:p>
        </w:tc>
        <w:tc>
          <w:tcPr>
            <w:tcW w:w="630" w:type="dxa"/>
          </w:tcPr>
          <w:p w14:paraId="07B57E13" w14:textId="77777777" w:rsidR="003A4DC5" w:rsidRPr="00346DCA" w:rsidRDefault="003A4DC5" w:rsidP="004360F5">
            <w:pPr>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623</w:t>
            </w:r>
          </w:p>
        </w:tc>
        <w:tc>
          <w:tcPr>
            <w:tcW w:w="1719" w:type="dxa"/>
          </w:tcPr>
          <w:p w14:paraId="58B265A2" w14:textId="77777777" w:rsidR="003A4DC5" w:rsidRPr="00346DCA" w:rsidRDefault="003A4DC5" w:rsidP="004360F5">
            <w:pPr>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709</w:t>
            </w:r>
          </w:p>
        </w:tc>
        <w:tc>
          <w:tcPr>
            <w:tcW w:w="1578" w:type="dxa"/>
          </w:tcPr>
          <w:p w14:paraId="4EF1E3AC" w14:textId="77777777" w:rsidR="003A4DC5" w:rsidRPr="00346DCA" w:rsidRDefault="003A4DC5" w:rsidP="004360F5">
            <w:pPr>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685</w:t>
            </w:r>
          </w:p>
        </w:tc>
      </w:tr>
      <w:tr w:rsidR="003A4DC5" w:rsidRPr="00346DCA" w14:paraId="3C39779A"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3385" w:type="dxa"/>
          </w:tcPr>
          <w:p w14:paraId="2394239C" w14:textId="77777777" w:rsidR="003A4DC5" w:rsidRPr="00346DCA" w:rsidRDefault="003A4DC5" w:rsidP="004360F5">
            <w:pPr>
              <w:autoSpaceDE w:val="0"/>
              <w:autoSpaceDN w:val="0"/>
              <w:adjustRightInd w:val="0"/>
              <w:spacing w:line="240" w:lineRule="auto"/>
              <w:rPr>
                <w:rFonts w:cs="HelveticaNeue-Light"/>
                <w:sz w:val="18"/>
              </w:rPr>
            </w:pPr>
            <w:r w:rsidRPr="00346DCA">
              <w:rPr>
                <w:rFonts w:cs="HelveticaNeue-Light"/>
                <w:sz w:val="18"/>
              </w:rPr>
              <w:t>Budget 2017</w:t>
            </w:r>
          </w:p>
        </w:tc>
        <w:tc>
          <w:tcPr>
            <w:tcW w:w="630" w:type="dxa"/>
          </w:tcPr>
          <w:p w14:paraId="0526CCBA" w14:textId="77777777" w:rsidR="003A4DC5" w:rsidRPr="00346DCA" w:rsidRDefault="003A4DC5" w:rsidP="004360F5">
            <w:pPr>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702</w:t>
            </w:r>
          </w:p>
        </w:tc>
        <w:tc>
          <w:tcPr>
            <w:tcW w:w="1719" w:type="dxa"/>
          </w:tcPr>
          <w:p w14:paraId="3C889FC3" w14:textId="77777777" w:rsidR="003A4DC5" w:rsidRPr="00346DCA" w:rsidRDefault="003A4DC5" w:rsidP="004360F5">
            <w:pPr>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788</w:t>
            </w:r>
          </w:p>
        </w:tc>
        <w:tc>
          <w:tcPr>
            <w:tcW w:w="1578" w:type="dxa"/>
          </w:tcPr>
          <w:p w14:paraId="6065CB69" w14:textId="77777777" w:rsidR="003A4DC5" w:rsidRPr="00346DCA" w:rsidRDefault="003A4DC5" w:rsidP="004360F5">
            <w:pPr>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764</w:t>
            </w:r>
          </w:p>
        </w:tc>
      </w:tr>
      <w:tr w:rsidR="003A4DC5" w:rsidRPr="00346DCA" w14:paraId="20AD7114"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85" w:type="dxa"/>
          </w:tcPr>
          <w:p w14:paraId="03AE1D79" w14:textId="77777777" w:rsidR="003A4DC5" w:rsidRPr="00346DCA" w:rsidRDefault="003A4DC5" w:rsidP="004360F5">
            <w:pPr>
              <w:autoSpaceDE w:val="0"/>
              <w:autoSpaceDN w:val="0"/>
              <w:adjustRightInd w:val="0"/>
              <w:spacing w:line="240" w:lineRule="auto"/>
              <w:rPr>
                <w:rFonts w:cs="HelveticaNeue-Light"/>
                <w:sz w:val="18"/>
              </w:rPr>
            </w:pPr>
            <w:r w:rsidRPr="00346DCA">
              <w:rPr>
                <w:rFonts w:cs="HelveticaNeue-Light"/>
                <w:sz w:val="18"/>
              </w:rPr>
              <w:t>Revised Estimates</w:t>
            </w:r>
          </w:p>
        </w:tc>
        <w:tc>
          <w:tcPr>
            <w:tcW w:w="630" w:type="dxa"/>
          </w:tcPr>
          <w:p w14:paraId="49AD6C38" w14:textId="77777777" w:rsidR="003A4DC5" w:rsidRPr="00346DCA" w:rsidRDefault="003A4DC5" w:rsidP="004360F5">
            <w:pPr>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705</w:t>
            </w:r>
          </w:p>
        </w:tc>
        <w:tc>
          <w:tcPr>
            <w:tcW w:w="1719" w:type="dxa"/>
          </w:tcPr>
          <w:p w14:paraId="1D1D8234" w14:textId="77777777" w:rsidR="003A4DC5" w:rsidRPr="00346DCA" w:rsidRDefault="003A4DC5" w:rsidP="004360F5">
            <w:pPr>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788</w:t>
            </w:r>
          </w:p>
        </w:tc>
        <w:tc>
          <w:tcPr>
            <w:tcW w:w="1578" w:type="dxa"/>
          </w:tcPr>
          <w:p w14:paraId="1018C0E9" w14:textId="77777777" w:rsidR="003A4DC5" w:rsidRPr="00346DCA" w:rsidRDefault="003A4DC5" w:rsidP="004360F5">
            <w:pPr>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764</w:t>
            </w:r>
          </w:p>
        </w:tc>
      </w:tr>
      <w:tr w:rsidR="003A4DC5" w:rsidRPr="00346DCA" w14:paraId="541CFB08"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3385" w:type="dxa"/>
          </w:tcPr>
          <w:p w14:paraId="38D7DC37" w14:textId="77777777" w:rsidR="003A4DC5" w:rsidRPr="00346DCA" w:rsidRDefault="003A4DC5" w:rsidP="004360F5">
            <w:pPr>
              <w:spacing w:line="240" w:lineRule="auto"/>
              <w:rPr>
                <w:rFonts w:eastAsia="Times New Roman" w:cs="Times New Roman"/>
                <w:i/>
                <w:iCs/>
                <w:color w:val="000000"/>
                <w:sz w:val="18"/>
              </w:rPr>
            </w:pPr>
            <w:r w:rsidRPr="00346DCA">
              <w:rPr>
                <w:rFonts w:eastAsia="Times New Roman" w:cs="Times New Roman"/>
                <w:i/>
                <w:iCs/>
                <w:color w:val="000000"/>
                <w:sz w:val="18"/>
              </w:rPr>
              <w:t>Difference  (v Capital Plan)</w:t>
            </w:r>
          </w:p>
        </w:tc>
        <w:tc>
          <w:tcPr>
            <w:tcW w:w="630" w:type="dxa"/>
          </w:tcPr>
          <w:p w14:paraId="4C27FC8D" w14:textId="77777777" w:rsidR="003A4DC5" w:rsidRPr="00346DCA" w:rsidRDefault="003A4DC5" w:rsidP="004360F5">
            <w:pPr>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cs="HelveticaNeue-Light"/>
                <w:i/>
                <w:sz w:val="18"/>
              </w:rPr>
            </w:pPr>
            <w:r w:rsidRPr="00346DCA">
              <w:rPr>
                <w:rFonts w:cs="HelveticaNeue-Light"/>
                <w:sz w:val="18"/>
              </w:rPr>
              <w:softHyphen/>
            </w:r>
            <w:r w:rsidRPr="00346DCA">
              <w:rPr>
                <w:rFonts w:cs="HelveticaNeue-Light"/>
                <w:i/>
                <w:sz w:val="18"/>
              </w:rPr>
              <w:t>+82</w:t>
            </w:r>
          </w:p>
        </w:tc>
        <w:tc>
          <w:tcPr>
            <w:tcW w:w="1719" w:type="dxa"/>
          </w:tcPr>
          <w:p w14:paraId="35108D82" w14:textId="77777777" w:rsidR="003A4DC5" w:rsidRPr="00346DCA" w:rsidRDefault="003A4DC5" w:rsidP="004360F5">
            <w:pPr>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cs="HelveticaNeue-Light"/>
                <w:i/>
                <w:sz w:val="18"/>
              </w:rPr>
            </w:pPr>
            <w:r w:rsidRPr="00346DCA">
              <w:rPr>
                <w:rFonts w:cs="HelveticaNeue-Light"/>
                <w:i/>
                <w:sz w:val="18"/>
              </w:rPr>
              <w:t>+79</w:t>
            </w:r>
          </w:p>
        </w:tc>
        <w:tc>
          <w:tcPr>
            <w:tcW w:w="1578" w:type="dxa"/>
          </w:tcPr>
          <w:p w14:paraId="5711775C" w14:textId="77777777" w:rsidR="003A4DC5" w:rsidRPr="00346DCA" w:rsidRDefault="003A4DC5" w:rsidP="004360F5">
            <w:pPr>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cs="HelveticaNeue-Light"/>
                <w:i/>
                <w:sz w:val="18"/>
              </w:rPr>
            </w:pPr>
            <w:r w:rsidRPr="00346DCA">
              <w:rPr>
                <w:rFonts w:cs="HelveticaNeue-Light"/>
                <w:i/>
                <w:sz w:val="18"/>
              </w:rPr>
              <w:t>+79</w:t>
            </w:r>
          </w:p>
        </w:tc>
      </w:tr>
      <w:tr w:rsidR="003D53EB" w:rsidRPr="003D53EB" w14:paraId="12213A0F"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85" w:type="dxa"/>
          </w:tcPr>
          <w:p w14:paraId="487E9561" w14:textId="32311726" w:rsidR="003D53EB" w:rsidRDefault="003D53EB" w:rsidP="004360F5">
            <w:pPr>
              <w:spacing w:line="240" w:lineRule="auto"/>
              <w:rPr>
                <w:rFonts w:eastAsia="Times New Roman" w:cs="Times New Roman"/>
                <w:iCs/>
                <w:color w:val="000000"/>
                <w:sz w:val="18"/>
              </w:rPr>
            </w:pPr>
            <w:r w:rsidRPr="003D53EB">
              <w:rPr>
                <w:rFonts w:eastAsia="Times New Roman" w:cs="Times New Roman"/>
                <w:iCs/>
                <w:color w:val="000000"/>
                <w:sz w:val="18"/>
              </w:rPr>
              <w:t>Revised Estimates</w:t>
            </w:r>
            <w:r>
              <w:rPr>
                <w:rFonts w:eastAsia="Times New Roman" w:cs="Times New Roman"/>
                <w:iCs/>
                <w:color w:val="000000"/>
                <w:sz w:val="18"/>
              </w:rPr>
              <w:t xml:space="preserve"> – </w:t>
            </w:r>
            <w:r w:rsidRPr="003D53EB">
              <w:rPr>
                <w:rFonts w:eastAsia="Times New Roman" w:cs="Times New Roman"/>
                <w:iCs/>
                <w:color w:val="000000"/>
                <w:sz w:val="18"/>
              </w:rPr>
              <w:t>Housing</w:t>
            </w:r>
          </w:p>
          <w:p w14:paraId="66E54B84" w14:textId="2051D7BC" w:rsidR="003D53EB" w:rsidRPr="003D53EB" w:rsidRDefault="003D53EB" w:rsidP="004360F5">
            <w:pPr>
              <w:spacing w:line="240" w:lineRule="auto"/>
              <w:rPr>
                <w:rFonts w:eastAsia="Times New Roman" w:cs="Times New Roman"/>
                <w:iCs/>
                <w:color w:val="000000"/>
                <w:sz w:val="18"/>
              </w:rPr>
            </w:pPr>
            <w:r>
              <w:rPr>
                <w:rFonts w:eastAsia="Times New Roman" w:cs="Times New Roman"/>
                <w:iCs/>
                <w:color w:val="000000"/>
                <w:sz w:val="18"/>
              </w:rPr>
              <w:t xml:space="preserve">(Exchequer </w:t>
            </w:r>
            <w:r w:rsidRPr="003D53EB">
              <w:rPr>
                <w:rFonts w:eastAsia="Times New Roman" w:cs="Times New Roman"/>
                <w:iCs/>
                <w:color w:val="000000"/>
                <w:sz w:val="18"/>
              </w:rPr>
              <w:t>only</w:t>
            </w:r>
            <w:r>
              <w:rPr>
                <w:rFonts w:eastAsia="Times New Roman" w:cs="Times New Roman"/>
                <w:iCs/>
                <w:color w:val="000000"/>
                <w:sz w:val="18"/>
              </w:rPr>
              <w:t>)</w:t>
            </w:r>
          </w:p>
        </w:tc>
        <w:tc>
          <w:tcPr>
            <w:tcW w:w="630" w:type="dxa"/>
          </w:tcPr>
          <w:p w14:paraId="058EF374" w14:textId="0242ED7D" w:rsidR="003D53EB" w:rsidRPr="003D53EB" w:rsidRDefault="003D53EB" w:rsidP="004360F5">
            <w:pPr>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Pr>
                <w:rFonts w:cs="HelveticaNeue-Light"/>
                <w:sz w:val="18"/>
              </w:rPr>
              <w:t>655</w:t>
            </w:r>
          </w:p>
        </w:tc>
        <w:tc>
          <w:tcPr>
            <w:tcW w:w="1719" w:type="dxa"/>
          </w:tcPr>
          <w:p w14:paraId="581E5D37" w14:textId="77777777" w:rsidR="003D53EB" w:rsidRPr="003D53EB" w:rsidRDefault="003D53EB" w:rsidP="004360F5">
            <w:pPr>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p>
        </w:tc>
        <w:tc>
          <w:tcPr>
            <w:tcW w:w="1578" w:type="dxa"/>
          </w:tcPr>
          <w:p w14:paraId="1FEAEA0A" w14:textId="77777777" w:rsidR="003D53EB" w:rsidRPr="003D53EB" w:rsidRDefault="003D53EB" w:rsidP="004360F5">
            <w:pPr>
              <w:autoSpaceDE w:val="0"/>
              <w:autoSpaceDN w:val="0"/>
              <w:adjustRightInd w:val="0"/>
              <w:spacing w:line="240"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p>
        </w:tc>
      </w:tr>
      <w:tr w:rsidR="003D53EB" w:rsidRPr="003D53EB" w14:paraId="57BC9ACC"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3385" w:type="dxa"/>
          </w:tcPr>
          <w:p w14:paraId="7ECE1358" w14:textId="77777777" w:rsidR="003D53EB" w:rsidRDefault="003D53EB" w:rsidP="004360F5">
            <w:pPr>
              <w:spacing w:line="240" w:lineRule="auto"/>
              <w:rPr>
                <w:rFonts w:eastAsia="Times New Roman" w:cs="Times New Roman"/>
                <w:iCs/>
                <w:color w:val="000000"/>
                <w:sz w:val="18"/>
              </w:rPr>
            </w:pPr>
            <w:r w:rsidRPr="003D53EB">
              <w:rPr>
                <w:rFonts w:eastAsia="Times New Roman" w:cs="Times New Roman"/>
                <w:iCs/>
                <w:color w:val="000000"/>
                <w:sz w:val="18"/>
              </w:rPr>
              <w:t xml:space="preserve">PCP </w:t>
            </w:r>
            <w:r>
              <w:rPr>
                <w:rFonts w:eastAsia="Times New Roman" w:cs="Times New Roman"/>
                <w:iCs/>
                <w:color w:val="000000"/>
                <w:sz w:val="18"/>
              </w:rPr>
              <w:t>–</w:t>
            </w:r>
            <w:r w:rsidRPr="003D53EB">
              <w:rPr>
                <w:rFonts w:eastAsia="Times New Roman" w:cs="Times New Roman"/>
                <w:iCs/>
                <w:color w:val="000000"/>
                <w:sz w:val="18"/>
              </w:rPr>
              <w:t xml:space="preserve"> Housing</w:t>
            </w:r>
            <w:r>
              <w:rPr>
                <w:rFonts w:eastAsia="Times New Roman" w:cs="Times New Roman"/>
                <w:iCs/>
                <w:color w:val="000000"/>
                <w:sz w:val="18"/>
              </w:rPr>
              <w:t xml:space="preserve"> </w:t>
            </w:r>
          </w:p>
          <w:p w14:paraId="687FEFC0" w14:textId="42C9252F" w:rsidR="003D53EB" w:rsidRPr="003D53EB" w:rsidRDefault="003D53EB" w:rsidP="004360F5">
            <w:pPr>
              <w:spacing w:line="240" w:lineRule="auto"/>
              <w:rPr>
                <w:rFonts w:eastAsia="Times New Roman" w:cs="Times New Roman"/>
                <w:iCs/>
                <w:color w:val="000000"/>
                <w:sz w:val="18"/>
              </w:rPr>
            </w:pPr>
            <w:r>
              <w:rPr>
                <w:rFonts w:eastAsia="Times New Roman" w:cs="Times New Roman"/>
                <w:iCs/>
                <w:color w:val="000000"/>
                <w:sz w:val="18"/>
              </w:rPr>
              <w:t>(incl. non-Exchequer)</w:t>
            </w:r>
          </w:p>
        </w:tc>
        <w:tc>
          <w:tcPr>
            <w:tcW w:w="630" w:type="dxa"/>
          </w:tcPr>
          <w:p w14:paraId="0F1D822D" w14:textId="25D50C1E" w:rsidR="003D53EB" w:rsidRPr="003D53EB" w:rsidRDefault="003D53EB" w:rsidP="004360F5">
            <w:pPr>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cs="HelveticaNeue-Light"/>
                <w:sz w:val="18"/>
              </w:rPr>
            </w:pPr>
            <w:r>
              <w:rPr>
                <w:rFonts w:cs="HelveticaNeue-Light"/>
                <w:sz w:val="18"/>
              </w:rPr>
              <w:t>1,004</w:t>
            </w:r>
          </w:p>
        </w:tc>
        <w:tc>
          <w:tcPr>
            <w:tcW w:w="1719" w:type="dxa"/>
          </w:tcPr>
          <w:p w14:paraId="7A17C1A0" w14:textId="77777777" w:rsidR="003D53EB" w:rsidRPr="003D53EB" w:rsidRDefault="003D53EB" w:rsidP="004360F5">
            <w:pPr>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cs="HelveticaNeue-Light"/>
                <w:sz w:val="18"/>
              </w:rPr>
            </w:pPr>
          </w:p>
        </w:tc>
        <w:tc>
          <w:tcPr>
            <w:tcW w:w="1578" w:type="dxa"/>
          </w:tcPr>
          <w:p w14:paraId="7C6C09B0" w14:textId="77777777" w:rsidR="003D53EB" w:rsidRPr="003D53EB" w:rsidRDefault="003D53EB" w:rsidP="004360F5">
            <w:pPr>
              <w:autoSpaceDE w:val="0"/>
              <w:autoSpaceDN w:val="0"/>
              <w:adjustRightInd w:val="0"/>
              <w:spacing w:line="240" w:lineRule="auto"/>
              <w:jc w:val="right"/>
              <w:cnfStyle w:val="000000000000" w:firstRow="0" w:lastRow="0" w:firstColumn="0" w:lastColumn="0" w:oddVBand="0" w:evenVBand="0" w:oddHBand="0" w:evenHBand="0" w:firstRowFirstColumn="0" w:firstRowLastColumn="0" w:lastRowFirstColumn="0" w:lastRowLastColumn="0"/>
              <w:rPr>
                <w:rFonts w:cs="HelveticaNeue-Light"/>
                <w:sz w:val="18"/>
              </w:rPr>
            </w:pPr>
          </w:p>
        </w:tc>
      </w:tr>
    </w:tbl>
    <w:p w14:paraId="76D75059" w14:textId="29BA9E94" w:rsidR="003A4DC5" w:rsidRPr="00E43A20" w:rsidRDefault="003A4DC5" w:rsidP="003A4DC5">
      <w:pPr>
        <w:pStyle w:val="DKMBodyText"/>
        <w:spacing w:line="276" w:lineRule="auto"/>
        <w:rPr>
          <w:rFonts w:asciiTheme="minorHAnsi" w:hAnsiTheme="minorHAnsi"/>
          <w:sz w:val="18"/>
          <w:szCs w:val="18"/>
        </w:rPr>
      </w:pPr>
      <w:r w:rsidRPr="00E43A20">
        <w:rPr>
          <w:rFonts w:asciiTheme="minorHAnsi" w:hAnsiTheme="minorHAnsi"/>
          <w:sz w:val="18"/>
          <w:szCs w:val="18"/>
        </w:rPr>
        <w:t>Source: Capital Plan, Budget 2017, Revised Estimates 2017</w:t>
      </w:r>
      <w:r w:rsidR="003D0B1B">
        <w:rPr>
          <w:rFonts w:asciiTheme="minorHAnsi" w:hAnsiTheme="minorHAnsi"/>
          <w:sz w:val="18"/>
          <w:szCs w:val="18"/>
        </w:rPr>
        <w:t>.</w:t>
      </w:r>
    </w:p>
    <w:p w14:paraId="62259311" w14:textId="77777777" w:rsidR="003D53EB" w:rsidRDefault="003D53EB" w:rsidP="00E43A20">
      <w:pPr>
        <w:autoSpaceDE w:val="0"/>
        <w:autoSpaceDN w:val="0"/>
        <w:adjustRightInd w:val="0"/>
        <w:rPr>
          <w:rFonts w:cs="HelveticaNeue-Light"/>
          <w:sz w:val="20"/>
          <w:szCs w:val="20"/>
        </w:rPr>
      </w:pPr>
    </w:p>
    <w:p w14:paraId="501338D8" w14:textId="4DF64B01" w:rsidR="003A4DC5" w:rsidRPr="00E43A20" w:rsidRDefault="003A4DC5" w:rsidP="00E43A20">
      <w:pPr>
        <w:autoSpaceDE w:val="0"/>
        <w:autoSpaceDN w:val="0"/>
        <w:adjustRightInd w:val="0"/>
        <w:rPr>
          <w:rFonts w:cs="HelveticaNeue-Light"/>
          <w:sz w:val="20"/>
          <w:szCs w:val="20"/>
        </w:rPr>
      </w:pPr>
      <w:r w:rsidRPr="00E43A20">
        <w:rPr>
          <w:rFonts w:cs="HelveticaNeue-Light"/>
          <w:sz w:val="20"/>
          <w:szCs w:val="20"/>
        </w:rPr>
        <w:t xml:space="preserve">The total </w:t>
      </w:r>
      <w:r w:rsidR="00ED32FB">
        <w:rPr>
          <w:rFonts w:cs="HelveticaNeue-Light"/>
          <w:sz w:val="20"/>
          <w:szCs w:val="20"/>
        </w:rPr>
        <w:t xml:space="preserve">PCP provision for </w:t>
      </w:r>
      <w:r w:rsidR="00E13A2B">
        <w:rPr>
          <w:rFonts w:cs="HelveticaNeue-Light"/>
          <w:sz w:val="20"/>
          <w:szCs w:val="20"/>
        </w:rPr>
        <w:t>Housing</w:t>
      </w:r>
      <w:r w:rsidR="00ED32FB">
        <w:rPr>
          <w:rFonts w:cs="HelveticaNeue-Light"/>
          <w:sz w:val="20"/>
          <w:szCs w:val="20"/>
        </w:rPr>
        <w:t>,</w:t>
      </w:r>
      <w:r w:rsidRPr="00E43A20">
        <w:rPr>
          <w:rFonts w:cs="HelveticaNeue-Light"/>
          <w:sz w:val="20"/>
          <w:szCs w:val="20"/>
        </w:rPr>
        <w:t xml:space="preserve"> inclusive of non-exchequer funding, is expected to be €1,0</w:t>
      </w:r>
      <w:r w:rsidR="00E13A2B">
        <w:rPr>
          <w:rFonts w:cs="HelveticaNeue-Light"/>
          <w:sz w:val="20"/>
          <w:szCs w:val="20"/>
        </w:rPr>
        <w:t>04</w:t>
      </w:r>
      <w:r w:rsidRPr="00E43A20">
        <w:rPr>
          <w:rFonts w:cs="HelveticaNeue-Light"/>
          <w:sz w:val="20"/>
          <w:szCs w:val="20"/>
        </w:rPr>
        <w:t xml:space="preserve"> million in 2017</w:t>
      </w:r>
      <w:r w:rsidR="00E13A2B">
        <w:rPr>
          <w:rFonts w:cs="HelveticaNeue-Light"/>
          <w:sz w:val="20"/>
          <w:szCs w:val="20"/>
        </w:rPr>
        <w:t>, which is 29 per cent or €226</w:t>
      </w:r>
      <w:r w:rsidR="004360F5">
        <w:rPr>
          <w:rFonts w:cs="HelveticaNeue-Light"/>
          <w:sz w:val="20"/>
          <w:szCs w:val="20"/>
        </w:rPr>
        <w:t xml:space="preserve"> million</w:t>
      </w:r>
      <w:r w:rsidR="00E13A2B">
        <w:rPr>
          <w:rFonts w:cs="HelveticaNeue-Light"/>
          <w:sz w:val="20"/>
          <w:szCs w:val="20"/>
        </w:rPr>
        <w:t xml:space="preserve"> above the corresponding provision for 2016.</w:t>
      </w:r>
      <w:r w:rsidRPr="00E43A20">
        <w:rPr>
          <w:rStyle w:val="FootnoteReference"/>
          <w:rFonts w:cs="HelveticaNeue-Light"/>
          <w:sz w:val="20"/>
          <w:szCs w:val="20"/>
        </w:rPr>
        <w:footnoteReference w:id="62"/>
      </w:r>
      <w:r w:rsidRPr="00E43A20">
        <w:rPr>
          <w:rFonts w:cs="HelveticaNeue-Light"/>
          <w:sz w:val="20"/>
          <w:szCs w:val="20"/>
        </w:rPr>
        <w:t xml:space="preserve"> </w:t>
      </w:r>
    </w:p>
    <w:p w14:paraId="626E333E" w14:textId="77777777" w:rsidR="00FD7208" w:rsidRDefault="00FD7208" w:rsidP="009D368D">
      <w:pPr>
        <w:pStyle w:val="DKMBodyText"/>
        <w:rPr>
          <w:rFonts w:asciiTheme="minorHAnsi" w:hAnsiTheme="minorHAnsi"/>
          <w:b/>
          <w:color w:val="005596"/>
          <w:sz w:val="20"/>
          <w:szCs w:val="20"/>
        </w:rPr>
      </w:pPr>
    </w:p>
    <w:p w14:paraId="0B83B300" w14:textId="77777777" w:rsidR="003A4DC5" w:rsidRPr="009D368D" w:rsidRDefault="003A4DC5" w:rsidP="009D368D">
      <w:pPr>
        <w:pStyle w:val="DKMBodyText"/>
        <w:rPr>
          <w:rFonts w:asciiTheme="minorHAnsi" w:hAnsiTheme="minorHAnsi"/>
          <w:b/>
          <w:color w:val="005596"/>
          <w:sz w:val="20"/>
          <w:szCs w:val="20"/>
        </w:rPr>
      </w:pPr>
      <w:r w:rsidRPr="009D368D">
        <w:rPr>
          <w:rFonts w:asciiTheme="minorHAnsi" w:hAnsiTheme="minorHAnsi"/>
          <w:b/>
          <w:color w:val="005596"/>
          <w:sz w:val="20"/>
          <w:szCs w:val="20"/>
        </w:rPr>
        <w:t>Transport</w:t>
      </w:r>
    </w:p>
    <w:p w14:paraId="2B68C930" w14:textId="339FA298" w:rsidR="00D10753" w:rsidRDefault="00FD7208" w:rsidP="00E43A20">
      <w:pPr>
        <w:autoSpaceDE w:val="0"/>
        <w:autoSpaceDN w:val="0"/>
        <w:adjustRightInd w:val="0"/>
        <w:rPr>
          <w:sz w:val="20"/>
          <w:szCs w:val="20"/>
        </w:rPr>
      </w:pPr>
      <w:r>
        <w:rPr>
          <w:sz w:val="20"/>
          <w:szCs w:val="20"/>
        </w:rPr>
        <w:t xml:space="preserve">The total allocation for the Department of Transport, Tourism and Sport (DTT&amp;S) in the Capital Plan </w:t>
      </w:r>
      <w:r w:rsidR="004360F5">
        <w:rPr>
          <w:sz w:val="20"/>
          <w:szCs w:val="20"/>
        </w:rPr>
        <w:t>i</w:t>
      </w:r>
      <w:r>
        <w:rPr>
          <w:sz w:val="20"/>
          <w:szCs w:val="20"/>
        </w:rPr>
        <w:t>s €8.06</w:t>
      </w:r>
      <w:r w:rsidR="004360F5">
        <w:rPr>
          <w:sz w:val="20"/>
          <w:szCs w:val="20"/>
        </w:rPr>
        <w:t xml:space="preserve"> billion</w:t>
      </w:r>
      <w:r>
        <w:rPr>
          <w:sz w:val="20"/>
          <w:szCs w:val="20"/>
        </w:rPr>
        <w:t xml:space="preserve"> over the period 2016-2021</w:t>
      </w:r>
      <w:r w:rsidR="00D10753">
        <w:rPr>
          <w:sz w:val="20"/>
          <w:szCs w:val="20"/>
        </w:rPr>
        <w:t xml:space="preserve"> or €10.065</w:t>
      </w:r>
      <w:r w:rsidR="004360F5">
        <w:rPr>
          <w:sz w:val="20"/>
          <w:szCs w:val="20"/>
        </w:rPr>
        <w:t xml:space="preserve"> billion</w:t>
      </w:r>
      <w:r w:rsidR="00D10753">
        <w:rPr>
          <w:sz w:val="20"/>
          <w:szCs w:val="20"/>
        </w:rPr>
        <w:t xml:space="preserve"> when 2022 is included. The total investment in Roads and Public Transport over the seven years is projected at around </w:t>
      </w:r>
      <w:r w:rsidR="00AB35ED">
        <w:rPr>
          <w:sz w:val="20"/>
          <w:szCs w:val="20"/>
        </w:rPr>
        <w:t>€</w:t>
      </w:r>
      <w:r w:rsidR="00D10753">
        <w:rPr>
          <w:sz w:val="20"/>
          <w:szCs w:val="20"/>
        </w:rPr>
        <w:t>6</w:t>
      </w:r>
      <w:r w:rsidR="004360F5">
        <w:rPr>
          <w:sz w:val="20"/>
          <w:szCs w:val="20"/>
        </w:rPr>
        <w:t xml:space="preserve"> billion</w:t>
      </w:r>
      <w:r w:rsidR="00D10753">
        <w:rPr>
          <w:sz w:val="20"/>
          <w:szCs w:val="20"/>
        </w:rPr>
        <w:t xml:space="preserve"> and €3.6</w:t>
      </w:r>
      <w:r w:rsidR="004360F5">
        <w:rPr>
          <w:sz w:val="20"/>
          <w:szCs w:val="20"/>
        </w:rPr>
        <w:t xml:space="preserve"> billion</w:t>
      </w:r>
      <w:r w:rsidR="00D10753">
        <w:rPr>
          <w:sz w:val="20"/>
          <w:szCs w:val="20"/>
        </w:rPr>
        <w:t xml:space="preserve"> respectively. </w:t>
      </w:r>
    </w:p>
    <w:p w14:paraId="73331627" w14:textId="77777777" w:rsidR="009336ED" w:rsidRDefault="009336ED" w:rsidP="00E43A20">
      <w:pPr>
        <w:autoSpaceDE w:val="0"/>
        <w:autoSpaceDN w:val="0"/>
        <w:adjustRightInd w:val="0"/>
        <w:rPr>
          <w:sz w:val="20"/>
          <w:szCs w:val="20"/>
        </w:rPr>
      </w:pPr>
    </w:p>
    <w:p w14:paraId="5676B84D" w14:textId="42AB14D4" w:rsidR="003A4DC5" w:rsidRPr="00E43A20" w:rsidRDefault="003A4DC5" w:rsidP="00E43A20">
      <w:pPr>
        <w:autoSpaceDE w:val="0"/>
        <w:autoSpaceDN w:val="0"/>
        <w:adjustRightInd w:val="0"/>
        <w:rPr>
          <w:rFonts w:cs="HelveticaNeue-Light"/>
          <w:sz w:val="20"/>
          <w:szCs w:val="20"/>
        </w:rPr>
      </w:pPr>
      <w:r w:rsidRPr="00E43A20">
        <w:rPr>
          <w:rFonts w:cs="HelveticaNeue-Light"/>
          <w:sz w:val="20"/>
          <w:szCs w:val="20"/>
        </w:rPr>
        <w:t xml:space="preserve">The </w:t>
      </w:r>
      <w:r w:rsidRPr="00E43A20">
        <w:rPr>
          <w:rFonts w:cs="HelveticaNeue-Light"/>
          <w:i/>
          <w:sz w:val="20"/>
          <w:szCs w:val="20"/>
        </w:rPr>
        <w:t>Capital Plan</w:t>
      </w:r>
      <w:r w:rsidRPr="00E43A20">
        <w:rPr>
          <w:rFonts w:cs="HelveticaNeue-Light"/>
          <w:sz w:val="20"/>
          <w:szCs w:val="20"/>
        </w:rPr>
        <w:t xml:space="preserve"> </w:t>
      </w:r>
      <w:r w:rsidR="00FD7208">
        <w:rPr>
          <w:rFonts w:cs="HelveticaNeue-Light"/>
          <w:sz w:val="20"/>
          <w:szCs w:val="20"/>
        </w:rPr>
        <w:t xml:space="preserve">allocated €1,015 million to DTT&amp;S </w:t>
      </w:r>
      <w:r w:rsidRPr="00E43A20">
        <w:rPr>
          <w:rFonts w:cs="HelveticaNeue-Light"/>
          <w:sz w:val="20"/>
          <w:szCs w:val="20"/>
        </w:rPr>
        <w:t xml:space="preserve">in 2017, €1,167 million in 2018, and €1,238 million in 2019. Based on </w:t>
      </w:r>
      <w:r w:rsidRPr="00E43A20">
        <w:rPr>
          <w:rFonts w:cs="HelveticaNeue-Light"/>
          <w:i/>
          <w:sz w:val="20"/>
          <w:szCs w:val="20"/>
        </w:rPr>
        <w:t>Budget 2017</w:t>
      </w:r>
      <w:r w:rsidRPr="00E43A20">
        <w:rPr>
          <w:rFonts w:cs="HelveticaNeue-Light"/>
          <w:sz w:val="20"/>
          <w:szCs w:val="20"/>
        </w:rPr>
        <w:t xml:space="preserve">, €1,130 million will be available to the Department in 2017, €1,281 </w:t>
      </w:r>
      <w:r w:rsidR="004360F5">
        <w:rPr>
          <w:rFonts w:cs="HelveticaNeue-Light"/>
          <w:sz w:val="20"/>
          <w:szCs w:val="20"/>
        </w:rPr>
        <w:t xml:space="preserve">million </w:t>
      </w:r>
      <w:r w:rsidRPr="00E43A20">
        <w:rPr>
          <w:rFonts w:cs="HelveticaNeue-Light"/>
          <w:sz w:val="20"/>
          <w:szCs w:val="20"/>
        </w:rPr>
        <w:t>will be available in 2018, and the allocation will be €1,328 million in 2019. These allocations remained the same in the Revised Estimates 2017</w:t>
      </w:r>
      <w:r w:rsidR="00FD7208">
        <w:rPr>
          <w:rFonts w:cs="HelveticaNeue-Light"/>
          <w:sz w:val="20"/>
          <w:szCs w:val="20"/>
        </w:rPr>
        <w:t xml:space="preserve"> but are in total €329</w:t>
      </w:r>
      <w:r w:rsidR="004360F5">
        <w:rPr>
          <w:rFonts w:cs="HelveticaNeue-Light"/>
          <w:sz w:val="20"/>
          <w:szCs w:val="20"/>
        </w:rPr>
        <w:t xml:space="preserve"> million</w:t>
      </w:r>
      <w:r w:rsidR="00FD7208">
        <w:rPr>
          <w:rFonts w:cs="HelveticaNeue-Light"/>
          <w:sz w:val="20"/>
          <w:szCs w:val="20"/>
        </w:rPr>
        <w:t xml:space="preserve"> above the corresponding provisions in the Capital Plan</w:t>
      </w:r>
      <w:r w:rsidRPr="00E43A20">
        <w:rPr>
          <w:rFonts w:cs="HelveticaNeue-Light"/>
          <w:sz w:val="20"/>
          <w:szCs w:val="20"/>
        </w:rPr>
        <w:t xml:space="preserve">. </w:t>
      </w:r>
    </w:p>
    <w:p w14:paraId="23894FBF" w14:textId="4790EF08" w:rsidR="003A4DC5" w:rsidRPr="00346DCA" w:rsidRDefault="003A4DC5" w:rsidP="003A4DC5">
      <w:pPr>
        <w:pStyle w:val="DKMTable"/>
        <w:spacing w:line="276" w:lineRule="auto"/>
        <w:rPr>
          <w:sz w:val="20"/>
        </w:rPr>
      </w:pPr>
      <w:bookmarkStart w:id="38" w:name="_Toc478116725"/>
      <w:r w:rsidRPr="00346DCA">
        <w:rPr>
          <w:sz w:val="20"/>
        </w:rPr>
        <w:t>Department of Transport, Tourism &amp; Sport: Voted Capital Expenditure (€</w:t>
      </w:r>
      <w:r w:rsidR="00FD7208">
        <w:rPr>
          <w:sz w:val="20"/>
        </w:rPr>
        <w:t>m</w:t>
      </w:r>
      <w:r w:rsidRPr="00346DCA">
        <w:rPr>
          <w:sz w:val="20"/>
        </w:rPr>
        <w:t>)</w:t>
      </w:r>
      <w:bookmarkEnd w:id="38"/>
    </w:p>
    <w:tbl>
      <w:tblPr>
        <w:tblStyle w:val="ColorfulList-Accent1"/>
        <w:tblW w:w="0" w:type="auto"/>
        <w:tblLook w:val="04A0" w:firstRow="1" w:lastRow="0" w:firstColumn="1" w:lastColumn="0" w:noHBand="0" w:noVBand="1"/>
      </w:tblPr>
      <w:tblGrid>
        <w:gridCol w:w="2410"/>
        <w:gridCol w:w="1323"/>
        <w:gridCol w:w="1813"/>
        <w:gridCol w:w="1813"/>
      </w:tblGrid>
      <w:tr w:rsidR="003A4DC5" w:rsidRPr="00346DCA" w14:paraId="3CF699AE" w14:textId="77777777" w:rsidTr="003A4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5C509D5" w14:textId="77777777" w:rsidR="003A4DC5" w:rsidRPr="00346DCA" w:rsidRDefault="003A4DC5" w:rsidP="003A4DC5">
            <w:pPr>
              <w:autoSpaceDE w:val="0"/>
              <w:autoSpaceDN w:val="0"/>
              <w:adjustRightInd w:val="0"/>
              <w:spacing w:line="276" w:lineRule="auto"/>
              <w:rPr>
                <w:rFonts w:cs="HelveticaNeue-Light"/>
                <w:sz w:val="18"/>
              </w:rPr>
            </w:pPr>
          </w:p>
        </w:tc>
        <w:tc>
          <w:tcPr>
            <w:tcW w:w="1323" w:type="dxa"/>
          </w:tcPr>
          <w:p w14:paraId="53171A1A" w14:textId="77777777" w:rsidR="003A4DC5" w:rsidRPr="00346DCA" w:rsidRDefault="003A4DC5" w:rsidP="003A4DC5">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2017</w:t>
            </w:r>
          </w:p>
        </w:tc>
        <w:tc>
          <w:tcPr>
            <w:tcW w:w="1813" w:type="dxa"/>
          </w:tcPr>
          <w:p w14:paraId="38513C99" w14:textId="77777777" w:rsidR="003A4DC5" w:rsidRPr="00346DCA" w:rsidRDefault="003A4DC5" w:rsidP="003A4DC5">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2018</w:t>
            </w:r>
          </w:p>
        </w:tc>
        <w:tc>
          <w:tcPr>
            <w:tcW w:w="1813" w:type="dxa"/>
          </w:tcPr>
          <w:p w14:paraId="1F8E9BAA" w14:textId="77777777" w:rsidR="003A4DC5" w:rsidRPr="00346DCA" w:rsidRDefault="003A4DC5" w:rsidP="003A4DC5">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2019</w:t>
            </w:r>
          </w:p>
        </w:tc>
      </w:tr>
      <w:tr w:rsidR="003A4DC5" w:rsidRPr="00346DCA" w14:paraId="228DBEC9" w14:textId="77777777" w:rsidTr="003A4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B7288A4" w14:textId="77777777" w:rsidR="003A4DC5" w:rsidRPr="00346DCA" w:rsidRDefault="003A4DC5" w:rsidP="003A4DC5">
            <w:pPr>
              <w:autoSpaceDE w:val="0"/>
              <w:autoSpaceDN w:val="0"/>
              <w:adjustRightInd w:val="0"/>
              <w:spacing w:line="276" w:lineRule="auto"/>
              <w:rPr>
                <w:rFonts w:cs="HelveticaNeue-Light"/>
                <w:sz w:val="18"/>
              </w:rPr>
            </w:pPr>
            <w:r w:rsidRPr="00346DCA">
              <w:rPr>
                <w:rFonts w:cs="HelveticaNeue-Light"/>
                <w:sz w:val="18"/>
              </w:rPr>
              <w:t>Capital Plan</w:t>
            </w:r>
          </w:p>
        </w:tc>
        <w:tc>
          <w:tcPr>
            <w:tcW w:w="1323" w:type="dxa"/>
          </w:tcPr>
          <w:p w14:paraId="53F0F303" w14:textId="77777777" w:rsidR="003A4DC5" w:rsidRPr="00346DCA" w:rsidRDefault="003A4DC5" w:rsidP="003A4DC5">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1,015</w:t>
            </w:r>
          </w:p>
        </w:tc>
        <w:tc>
          <w:tcPr>
            <w:tcW w:w="1813" w:type="dxa"/>
          </w:tcPr>
          <w:p w14:paraId="5DA7A875" w14:textId="77777777" w:rsidR="003A4DC5" w:rsidRPr="00346DCA" w:rsidRDefault="003A4DC5" w:rsidP="003A4DC5">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1,167</w:t>
            </w:r>
          </w:p>
        </w:tc>
        <w:tc>
          <w:tcPr>
            <w:tcW w:w="1813" w:type="dxa"/>
          </w:tcPr>
          <w:p w14:paraId="03F67FB4" w14:textId="77777777" w:rsidR="003A4DC5" w:rsidRPr="00346DCA" w:rsidRDefault="003A4DC5" w:rsidP="003A4DC5">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1,238</w:t>
            </w:r>
          </w:p>
        </w:tc>
      </w:tr>
      <w:tr w:rsidR="003A4DC5" w:rsidRPr="00346DCA" w14:paraId="2B1CD6DC" w14:textId="77777777" w:rsidTr="003A4DC5">
        <w:tc>
          <w:tcPr>
            <w:cnfStyle w:val="001000000000" w:firstRow="0" w:lastRow="0" w:firstColumn="1" w:lastColumn="0" w:oddVBand="0" w:evenVBand="0" w:oddHBand="0" w:evenHBand="0" w:firstRowFirstColumn="0" w:firstRowLastColumn="0" w:lastRowFirstColumn="0" w:lastRowLastColumn="0"/>
            <w:tcW w:w="2410" w:type="dxa"/>
          </w:tcPr>
          <w:p w14:paraId="32DCE6CF" w14:textId="77777777" w:rsidR="003A4DC5" w:rsidRPr="00346DCA" w:rsidRDefault="003A4DC5" w:rsidP="003A4DC5">
            <w:pPr>
              <w:autoSpaceDE w:val="0"/>
              <w:autoSpaceDN w:val="0"/>
              <w:adjustRightInd w:val="0"/>
              <w:spacing w:line="276" w:lineRule="auto"/>
              <w:rPr>
                <w:rFonts w:cs="HelveticaNeue-Light"/>
                <w:sz w:val="18"/>
              </w:rPr>
            </w:pPr>
            <w:r w:rsidRPr="00346DCA">
              <w:rPr>
                <w:rFonts w:cs="HelveticaNeue-Light"/>
                <w:sz w:val="18"/>
              </w:rPr>
              <w:t>Budget 2017</w:t>
            </w:r>
          </w:p>
        </w:tc>
        <w:tc>
          <w:tcPr>
            <w:tcW w:w="1323" w:type="dxa"/>
          </w:tcPr>
          <w:p w14:paraId="5F8F591B" w14:textId="77777777" w:rsidR="003A4DC5" w:rsidRPr="00346DCA" w:rsidRDefault="003A4DC5" w:rsidP="003A4DC5">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1,130</w:t>
            </w:r>
          </w:p>
        </w:tc>
        <w:tc>
          <w:tcPr>
            <w:tcW w:w="1813" w:type="dxa"/>
          </w:tcPr>
          <w:p w14:paraId="195A4CB5" w14:textId="77777777" w:rsidR="003A4DC5" w:rsidRPr="00346DCA" w:rsidRDefault="003A4DC5" w:rsidP="003A4DC5">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1,281</w:t>
            </w:r>
          </w:p>
        </w:tc>
        <w:tc>
          <w:tcPr>
            <w:tcW w:w="1813" w:type="dxa"/>
          </w:tcPr>
          <w:p w14:paraId="383D84CF" w14:textId="77777777" w:rsidR="003A4DC5" w:rsidRPr="00346DCA" w:rsidRDefault="003A4DC5" w:rsidP="003A4DC5">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cs="HelveticaNeue-Light"/>
                <w:sz w:val="18"/>
              </w:rPr>
            </w:pPr>
            <w:r w:rsidRPr="00346DCA">
              <w:rPr>
                <w:rFonts w:cs="HelveticaNeue-Light"/>
                <w:sz w:val="18"/>
              </w:rPr>
              <w:t>1,328</w:t>
            </w:r>
          </w:p>
        </w:tc>
      </w:tr>
      <w:tr w:rsidR="003A4DC5" w:rsidRPr="00346DCA" w14:paraId="5932017D" w14:textId="77777777" w:rsidTr="003A4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C6B91B6" w14:textId="77777777" w:rsidR="003A4DC5" w:rsidRPr="00346DCA" w:rsidRDefault="003A4DC5" w:rsidP="003A4DC5">
            <w:pPr>
              <w:autoSpaceDE w:val="0"/>
              <w:autoSpaceDN w:val="0"/>
              <w:adjustRightInd w:val="0"/>
              <w:spacing w:line="276" w:lineRule="auto"/>
              <w:rPr>
                <w:rFonts w:cs="HelveticaNeue-Light"/>
                <w:sz w:val="18"/>
              </w:rPr>
            </w:pPr>
            <w:r w:rsidRPr="00346DCA">
              <w:rPr>
                <w:rFonts w:cs="HelveticaNeue-Light"/>
                <w:sz w:val="18"/>
              </w:rPr>
              <w:t>Revised Estimates</w:t>
            </w:r>
          </w:p>
        </w:tc>
        <w:tc>
          <w:tcPr>
            <w:tcW w:w="1323" w:type="dxa"/>
          </w:tcPr>
          <w:p w14:paraId="15C1BA27" w14:textId="77777777" w:rsidR="003A4DC5" w:rsidRPr="00346DCA" w:rsidRDefault="003A4DC5" w:rsidP="003A4DC5">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1,130</w:t>
            </w:r>
          </w:p>
        </w:tc>
        <w:tc>
          <w:tcPr>
            <w:tcW w:w="1813" w:type="dxa"/>
          </w:tcPr>
          <w:p w14:paraId="440F2523" w14:textId="77777777" w:rsidR="003A4DC5" w:rsidRPr="00346DCA" w:rsidRDefault="003A4DC5" w:rsidP="003A4DC5">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1,281</w:t>
            </w:r>
          </w:p>
        </w:tc>
        <w:tc>
          <w:tcPr>
            <w:tcW w:w="1813" w:type="dxa"/>
          </w:tcPr>
          <w:p w14:paraId="141087AF" w14:textId="77777777" w:rsidR="003A4DC5" w:rsidRPr="00346DCA" w:rsidRDefault="003A4DC5" w:rsidP="003A4DC5">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cs="HelveticaNeue-Light"/>
                <w:sz w:val="18"/>
              </w:rPr>
            </w:pPr>
            <w:r w:rsidRPr="00346DCA">
              <w:rPr>
                <w:rFonts w:cs="HelveticaNeue-Light"/>
                <w:sz w:val="18"/>
              </w:rPr>
              <w:t>1,328</w:t>
            </w:r>
          </w:p>
        </w:tc>
      </w:tr>
      <w:tr w:rsidR="003A4DC5" w:rsidRPr="00346DCA" w14:paraId="19397D25" w14:textId="77777777" w:rsidTr="003A4DC5">
        <w:tc>
          <w:tcPr>
            <w:cnfStyle w:val="001000000000" w:firstRow="0" w:lastRow="0" w:firstColumn="1" w:lastColumn="0" w:oddVBand="0" w:evenVBand="0" w:oddHBand="0" w:evenHBand="0" w:firstRowFirstColumn="0" w:firstRowLastColumn="0" w:lastRowFirstColumn="0" w:lastRowLastColumn="0"/>
            <w:tcW w:w="2410" w:type="dxa"/>
          </w:tcPr>
          <w:p w14:paraId="6E700C19" w14:textId="77777777" w:rsidR="003A4DC5" w:rsidRPr="00346DCA" w:rsidRDefault="003A4DC5" w:rsidP="003A4DC5">
            <w:pPr>
              <w:spacing w:line="276" w:lineRule="auto"/>
              <w:rPr>
                <w:rFonts w:cs="HelveticaNeue-Light"/>
                <w:sz w:val="18"/>
              </w:rPr>
            </w:pPr>
            <w:r w:rsidRPr="00346DCA">
              <w:rPr>
                <w:rFonts w:eastAsia="Times New Roman" w:cs="Times New Roman"/>
                <w:i/>
                <w:iCs/>
                <w:color w:val="000000"/>
                <w:sz w:val="18"/>
              </w:rPr>
              <w:t>Difference (v Capital Plan)</w:t>
            </w:r>
          </w:p>
        </w:tc>
        <w:tc>
          <w:tcPr>
            <w:tcW w:w="1323" w:type="dxa"/>
          </w:tcPr>
          <w:p w14:paraId="5B8D064E" w14:textId="77777777" w:rsidR="003A4DC5" w:rsidRPr="00346DCA" w:rsidRDefault="003A4DC5" w:rsidP="003A4DC5">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cs="HelveticaNeue-Light"/>
                <w:i/>
                <w:sz w:val="18"/>
              </w:rPr>
            </w:pPr>
            <w:r w:rsidRPr="00346DCA">
              <w:rPr>
                <w:rFonts w:cs="HelveticaNeue-Light"/>
                <w:i/>
                <w:sz w:val="18"/>
              </w:rPr>
              <w:t>+115</w:t>
            </w:r>
          </w:p>
        </w:tc>
        <w:tc>
          <w:tcPr>
            <w:tcW w:w="1813" w:type="dxa"/>
          </w:tcPr>
          <w:p w14:paraId="4C37B57A" w14:textId="77777777" w:rsidR="003A4DC5" w:rsidRPr="00346DCA" w:rsidRDefault="003A4DC5" w:rsidP="003A4DC5">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cs="HelveticaNeue-Light"/>
                <w:i/>
                <w:sz w:val="18"/>
              </w:rPr>
            </w:pPr>
            <w:r w:rsidRPr="00346DCA">
              <w:rPr>
                <w:rFonts w:cs="HelveticaNeue-Light"/>
                <w:i/>
                <w:sz w:val="18"/>
              </w:rPr>
              <w:t>+114</w:t>
            </w:r>
          </w:p>
        </w:tc>
        <w:tc>
          <w:tcPr>
            <w:tcW w:w="1813" w:type="dxa"/>
          </w:tcPr>
          <w:p w14:paraId="1039ECAE" w14:textId="77777777" w:rsidR="003A4DC5" w:rsidRPr="00346DCA" w:rsidRDefault="003A4DC5" w:rsidP="003A4DC5">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cs="HelveticaNeue-Light"/>
                <w:i/>
                <w:sz w:val="18"/>
              </w:rPr>
            </w:pPr>
            <w:r w:rsidRPr="00346DCA">
              <w:rPr>
                <w:rFonts w:cs="HelveticaNeue-Light"/>
                <w:i/>
                <w:sz w:val="18"/>
              </w:rPr>
              <w:t>+100</w:t>
            </w:r>
          </w:p>
        </w:tc>
      </w:tr>
    </w:tbl>
    <w:p w14:paraId="4D82B52E" w14:textId="6805BA86" w:rsidR="003A4DC5" w:rsidRPr="00D10753" w:rsidRDefault="003A4DC5" w:rsidP="003A4DC5">
      <w:pPr>
        <w:pStyle w:val="DKMBodyText"/>
        <w:spacing w:line="276" w:lineRule="auto"/>
        <w:rPr>
          <w:rFonts w:asciiTheme="minorHAnsi" w:hAnsiTheme="minorHAnsi"/>
          <w:sz w:val="18"/>
          <w:szCs w:val="18"/>
        </w:rPr>
      </w:pPr>
      <w:r w:rsidRPr="00D10753">
        <w:rPr>
          <w:rFonts w:asciiTheme="minorHAnsi" w:hAnsiTheme="minorHAnsi"/>
          <w:sz w:val="18"/>
          <w:szCs w:val="18"/>
        </w:rPr>
        <w:t xml:space="preserve">Source: Capital Plan, Budget 2017, Revised Estimates </w:t>
      </w:r>
      <w:r w:rsidR="00FD7208" w:rsidRPr="00D10753">
        <w:rPr>
          <w:rFonts w:asciiTheme="minorHAnsi" w:hAnsiTheme="minorHAnsi"/>
          <w:sz w:val="18"/>
          <w:szCs w:val="18"/>
        </w:rPr>
        <w:t xml:space="preserve">for Public Services </w:t>
      </w:r>
      <w:r w:rsidRPr="00D10753">
        <w:rPr>
          <w:rFonts w:asciiTheme="minorHAnsi" w:hAnsiTheme="minorHAnsi"/>
          <w:sz w:val="18"/>
          <w:szCs w:val="18"/>
        </w:rPr>
        <w:t>2017</w:t>
      </w:r>
      <w:r w:rsidR="00FD7208" w:rsidRPr="00D10753">
        <w:rPr>
          <w:rFonts w:asciiTheme="minorHAnsi" w:hAnsiTheme="minorHAnsi"/>
          <w:sz w:val="18"/>
          <w:szCs w:val="18"/>
        </w:rPr>
        <w:t>.</w:t>
      </w:r>
    </w:p>
    <w:p w14:paraId="2A6D7D27" w14:textId="3E3ADF96" w:rsidR="003A4DC5" w:rsidRDefault="00D10753" w:rsidP="009947AB">
      <w:pPr>
        <w:autoSpaceDE w:val="0"/>
        <w:autoSpaceDN w:val="0"/>
        <w:adjustRightInd w:val="0"/>
        <w:rPr>
          <w:rFonts w:cs="HelveticaNeue-Light"/>
          <w:sz w:val="20"/>
          <w:szCs w:val="20"/>
        </w:rPr>
      </w:pPr>
      <w:r>
        <w:rPr>
          <w:sz w:val="20"/>
          <w:szCs w:val="20"/>
        </w:rPr>
        <w:t>Including non-Exchequer investment, t</w:t>
      </w:r>
      <w:r w:rsidR="00FD7208">
        <w:rPr>
          <w:sz w:val="20"/>
          <w:szCs w:val="20"/>
        </w:rPr>
        <w:t xml:space="preserve">he total </w:t>
      </w:r>
      <w:r>
        <w:rPr>
          <w:sz w:val="20"/>
          <w:szCs w:val="20"/>
        </w:rPr>
        <w:t>PCP provision for</w:t>
      </w:r>
      <w:r w:rsidR="00FD7208" w:rsidRPr="00E43A20">
        <w:rPr>
          <w:rFonts w:cs="HelveticaNeue-Light"/>
          <w:sz w:val="20"/>
          <w:szCs w:val="20"/>
        </w:rPr>
        <w:t xml:space="preserve"> </w:t>
      </w:r>
      <w:r>
        <w:rPr>
          <w:rFonts w:cs="HelveticaNeue-Light"/>
          <w:sz w:val="20"/>
          <w:szCs w:val="20"/>
        </w:rPr>
        <w:t>TT&amp;S</w:t>
      </w:r>
      <w:r w:rsidR="00FD7208" w:rsidRPr="00E43A20">
        <w:rPr>
          <w:rFonts w:cs="HelveticaNeue-Light"/>
          <w:sz w:val="20"/>
          <w:szCs w:val="20"/>
        </w:rPr>
        <w:t xml:space="preserve"> is </w:t>
      </w:r>
      <w:r>
        <w:rPr>
          <w:rFonts w:cs="HelveticaNeue-Light"/>
          <w:sz w:val="20"/>
          <w:szCs w:val="20"/>
        </w:rPr>
        <w:t>€1.584 million</w:t>
      </w:r>
      <w:r w:rsidR="004360F5">
        <w:rPr>
          <w:rFonts w:cs="HelveticaNeue-Light"/>
          <w:sz w:val="20"/>
          <w:szCs w:val="20"/>
        </w:rPr>
        <w:t xml:space="preserve"> in 2017</w:t>
      </w:r>
      <w:r>
        <w:rPr>
          <w:rFonts w:cs="HelveticaNeue-Light"/>
          <w:sz w:val="20"/>
          <w:szCs w:val="20"/>
        </w:rPr>
        <w:t xml:space="preserve">, down 1 per cent on the corresponding provision in 2016 and </w:t>
      </w:r>
      <w:r w:rsidR="00FD7208" w:rsidRPr="00E43A20">
        <w:rPr>
          <w:rFonts w:cs="HelveticaNeue-Light"/>
          <w:sz w:val="20"/>
          <w:szCs w:val="20"/>
        </w:rPr>
        <w:t>roughly 40</w:t>
      </w:r>
      <w:r w:rsidR="00FD7208">
        <w:rPr>
          <w:rFonts w:cs="HelveticaNeue-Light"/>
          <w:sz w:val="20"/>
          <w:szCs w:val="20"/>
        </w:rPr>
        <w:t xml:space="preserve"> per cent</w:t>
      </w:r>
      <w:r w:rsidR="00FD7208" w:rsidRPr="00E43A20">
        <w:rPr>
          <w:rFonts w:cs="HelveticaNeue-Light"/>
          <w:sz w:val="20"/>
          <w:szCs w:val="20"/>
        </w:rPr>
        <w:t xml:space="preserve"> of what it had been in 2008.</w:t>
      </w:r>
      <w:r w:rsidR="00DF6CDC">
        <w:rPr>
          <w:rFonts w:cs="HelveticaNeue-Light"/>
          <w:sz w:val="20"/>
          <w:szCs w:val="20"/>
        </w:rPr>
        <w:t xml:space="preserve"> Within this total, the construction and improvement of roads is allocated €547.1</w:t>
      </w:r>
      <w:r w:rsidR="004360F5">
        <w:rPr>
          <w:rFonts w:cs="HelveticaNeue-Light"/>
          <w:sz w:val="20"/>
          <w:szCs w:val="20"/>
        </w:rPr>
        <w:t xml:space="preserve"> million</w:t>
      </w:r>
      <w:r w:rsidR="00DF6CDC">
        <w:rPr>
          <w:rFonts w:cs="HelveticaNeue-Light"/>
          <w:sz w:val="20"/>
          <w:szCs w:val="20"/>
        </w:rPr>
        <w:t xml:space="preserve">, which is 7 per cent below the corresponding provision in 2016. </w:t>
      </w:r>
    </w:p>
    <w:p w14:paraId="7138A140" w14:textId="77777777" w:rsidR="00D10753" w:rsidRPr="00346DCA" w:rsidRDefault="00D10753" w:rsidP="009947AB">
      <w:pPr>
        <w:autoSpaceDE w:val="0"/>
        <w:autoSpaceDN w:val="0"/>
        <w:adjustRightInd w:val="0"/>
        <w:rPr>
          <w:rFonts w:cs="HelveticaNeue-Light"/>
        </w:rPr>
      </w:pPr>
    </w:p>
    <w:p w14:paraId="6DDEE054" w14:textId="3B64E471" w:rsidR="008D7F83" w:rsidRDefault="009947AB" w:rsidP="002F7CF5">
      <w:pPr>
        <w:autoSpaceDE w:val="0"/>
        <w:autoSpaceDN w:val="0"/>
        <w:adjustRightInd w:val="0"/>
        <w:rPr>
          <w:rFonts w:cs="HelveticaNeue-Light"/>
          <w:sz w:val="20"/>
          <w:szCs w:val="20"/>
        </w:rPr>
      </w:pPr>
      <w:r>
        <w:rPr>
          <w:sz w:val="20"/>
          <w:szCs w:val="20"/>
        </w:rPr>
        <w:t>Of the €6</w:t>
      </w:r>
      <w:r w:rsidR="004360F5">
        <w:rPr>
          <w:sz w:val="20"/>
          <w:szCs w:val="20"/>
        </w:rPr>
        <w:t xml:space="preserve"> billion</w:t>
      </w:r>
      <w:r>
        <w:rPr>
          <w:sz w:val="20"/>
          <w:szCs w:val="20"/>
        </w:rPr>
        <w:t xml:space="preserve"> for road investment, s</w:t>
      </w:r>
      <w:r w:rsidRPr="00AB35ED">
        <w:rPr>
          <w:sz w:val="20"/>
          <w:szCs w:val="20"/>
        </w:rPr>
        <w:t xml:space="preserve">teady state funding, which is the funding necessary to maintain, manage and renew the existing </w:t>
      </w:r>
      <w:r>
        <w:rPr>
          <w:sz w:val="20"/>
          <w:szCs w:val="20"/>
        </w:rPr>
        <w:t>road network</w:t>
      </w:r>
      <w:r w:rsidRPr="00AB35ED">
        <w:rPr>
          <w:sz w:val="20"/>
          <w:szCs w:val="20"/>
        </w:rPr>
        <w:t xml:space="preserve"> to keep it in an adequate condition, together with known capital commitments, </w:t>
      </w:r>
      <w:r>
        <w:rPr>
          <w:sz w:val="20"/>
          <w:szCs w:val="20"/>
        </w:rPr>
        <w:t>is</w:t>
      </w:r>
      <w:r w:rsidRPr="00AB35ED">
        <w:rPr>
          <w:sz w:val="20"/>
          <w:szCs w:val="20"/>
        </w:rPr>
        <w:t xml:space="preserve"> estimated at €</w:t>
      </w:r>
      <w:r>
        <w:rPr>
          <w:sz w:val="20"/>
          <w:szCs w:val="20"/>
        </w:rPr>
        <w:t>4.4</w:t>
      </w:r>
      <w:r w:rsidR="004360F5">
        <w:rPr>
          <w:sz w:val="20"/>
          <w:szCs w:val="20"/>
        </w:rPr>
        <w:t xml:space="preserve"> billion</w:t>
      </w:r>
      <w:r>
        <w:rPr>
          <w:sz w:val="20"/>
          <w:szCs w:val="20"/>
        </w:rPr>
        <w:t>. After the €600</w:t>
      </w:r>
      <w:r w:rsidR="004360F5">
        <w:rPr>
          <w:sz w:val="20"/>
          <w:szCs w:val="20"/>
        </w:rPr>
        <w:t xml:space="preserve"> million</w:t>
      </w:r>
      <w:r>
        <w:rPr>
          <w:sz w:val="20"/>
          <w:szCs w:val="20"/>
        </w:rPr>
        <w:t xml:space="preserve"> allocated to develop the existing pipeline of PPP road projects and the €100</w:t>
      </w:r>
      <w:r w:rsidR="004360F5">
        <w:rPr>
          <w:sz w:val="20"/>
          <w:szCs w:val="20"/>
        </w:rPr>
        <w:t xml:space="preserve"> million</w:t>
      </w:r>
      <w:r>
        <w:rPr>
          <w:sz w:val="20"/>
          <w:szCs w:val="20"/>
        </w:rPr>
        <w:t xml:space="preserve"> for smarter travel initiatives, this leaves just €860</w:t>
      </w:r>
      <w:r w:rsidR="004360F5">
        <w:rPr>
          <w:sz w:val="20"/>
          <w:szCs w:val="20"/>
        </w:rPr>
        <w:t xml:space="preserve"> million</w:t>
      </w:r>
      <w:r>
        <w:rPr>
          <w:sz w:val="20"/>
          <w:szCs w:val="20"/>
        </w:rPr>
        <w:t xml:space="preserve"> for new priority roads over the seven years and possibl</w:t>
      </w:r>
      <w:r w:rsidR="004360F5">
        <w:rPr>
          <w:sz w:val="20"/>
          <w:szCs w:val="20"/>
        </w:rPr>
        <w:t>y</w:t>
      </w:r>
      <w:r>
        <w:rPr>
          <w:sz w:val="20"/>
          <w:szCs w:val="20"/>
        </w:rPr>
        <w:t xml:space="preserve"> less after adjust</w:t>
      </w:r>
      <w:r w:rsidR="00D91E46">
        <w:rPr>
          <w:sz w:val="20"/>
          <w:szCs w:val="20"/>
        </w:rPr>
        <w:t>ment</w:t>
      </w:r>
      <w:r>
        <w:rPr>
          <w:sz w:val="20"/>
          <w:szCs w:val="20"/>
        </w:rPr>
        <w:t xml:space="preserve"> for inflation. With no new PPP road projects contemplated in the Capital Plan, the scope for new projects is expected to be delayed until 2020. This implies that shovel read schemes cannot be progressed in the short term with a ramp up of schemes, most likely procured as design and build, expected in 2019.</w:t>
      </w:r>
      <w:r w:rsidR="008D7F83">
        <w:rPr>
          <w:rStyle w:val="FootnoteReference"/>
          <w:sz w:val="20"/>
          <w:szCs w:val="20"/>
        </w:rPr>
        <w:footnoteReference w:id="63"/>
      </w:r>
      <w:r>
        <w:rPr>
          <w:sz w:val="20"/>
          <w:szCs w:val="20"/>
        </w:rPr>
        <w:t xml:space="preserve"> </w:t>
      </w:r>
    </w:p>
    <w:p w14:paraId="35F95793" w14:textId="1A50F5E5" w:rsidR="00EF0F16" w:rsidRPr="006F51F1" w:rsidRDefault="004360F5" w:rsidP="002F7CF5">
      <w:pPr>
        <w:autoSpaceDE w:val="0"/>
        <w:autoSpaceDN w:val="0"/>
        <w:adjustRightInd w:val="0"/>
        <w:rPr>
          <w:rFonts w:cs="HelveticaNeue-Light"/>
          <w:sz w:val="20"/>
          <w:szCs w:val="20"/>
        </w:rPr>
      </w:pPr>
      <w:r>
        <w:rPr>
          <w:rFonts w:cs="HelveticaNeue-Light"/>
          <w:sz w:val="20"/>
          <w:szCs w:val="20"/>
        </w:rPr>
        <w:t xml:space="preserve"> </w:t>
      </w:r>
    </w:p>
    <w:p w14:paraId="39A16803" w14:textId="59C881DB" w:rsidR="00EF0F16" w:rsidRDefault="0051478F" w:rsidP="002F7CF5">
      <w:pPr>
        <w:autoSpaceDE w:val="0"/>
        <w:autoSpaceDN w:val="0"/>
        <w:adjustRightInd w:val="0"/>
        <w:rPr>
          <w:rFonts w:cs="HelveticaNeue-Light"/>
          <w:sz w:val="20"/>
          <w:szCs w:val="20"/>
        </w:rPr>
      </w:pPr>
      <w:r>
        <w:rPr>
          <w:rFonts w:cs="HelveticaNeue-Light"/>
          <w:sz w:val="20"/>
          <w:szCs w:val="20"/>
        </w:rPr>
        <w:t>There is a notable absence of the M20 Limerick to Cork motorway</w:t>
      </w:r>
      <w:r w:rsidR="00C42BF9">
        <w:rPr>
          <w:rFonts w:cs="HelveticaNeue-Light"/>
          <w:sz w:val="20"/>
          <w:szCs w:val="20"/>
        </w:rPr>
        <w:t xml:space="preserve"> in the Capital Plan</w:t>
      </w:r>
      <w:r>
        <w:rPr>
          <w:rFonts w:cs="HelveticaNeue-Light"/>
          <w:sz w:val="20"/>
          <w:szCs w:val="20"/>
        </w:rPr>
        <w:t>, which is a key route in the context of the Atlantic Economic corridor</w:t>
      </w:r>
      <w:r w:rsidR="00C42BF9">
        <w:rPr>
          <w:rFonts w:cs="HelveticaNeue-Light"/>
          <w:sz w:val="20"/>
          <w:szCs w:val="20"/>
        </w:rPr>
        <w:t xml:space="preserve"> and would be important to provide greater connectivity between two urban centres and more generally between economic clusters in the south-west region. This project is estimated to cost in the region of €800</w:t>
      </w:r>
      <w:r w:rsidR="008D7F83">
        <w:rPr>
          <w:rFonts w:cs="HelveticaNeue-Light"/>
          <w:sz w:val="20"/>
          <w:szCs w:val="20"/>
        </w:rPr>
        <w:t xml:space="preserve"> million</w:t>
      </w:r>
      <w:r w:rsidR="00C42BF9">
        <w:rPr>
          <w:rFonts w:cs="HelveticaNeue-Light"/>
          <w:sz w:val="20"/>
          <w:szCs w:val="20"/>
        </w:rPr>
        <w:t xml:space="preserve">, which is roughly equivalent to the total amount (€860m) allocated for new projects in the Capital Plan.  </w:t>
      </w:r>
      <w:r w:rsidR="00F64F9B">
        <w:rPr>
          <w:rFonts w:cs="HelveticaNeue-Light"/>
          <w:sz w:val="20"/>
          <w:szCs w:val="20"/>
        </w:rPr>
        <w:t xml:space="preserve">Similarly, </w:t>
      </w:r>
      <w:r w:rsidR="003228D4">
        <w:rPr>
          <w:rFonts w:cs="HelveticaNeue-Light"/>
          <w:sz w:val="20"/>
          <w:szCs w:val="20"/>
        </w:rPr>
        <w:t>there are no alternative routes currently in the Capital Plan to address the congestion on the</w:t>
      </w:r>
      <w:r w:rsidR="00F64F9B">
        <w:rPr>
          <w:rFonts w:cs="HelveticaNeue-Light"/>
          <w:sz w:val="20"/>
          <w:szCs w:val="20"/>
        </w:rPr>
        <w:t xml:space="preserve"> </w:t>
      </w:r>
      <w:r w:rsidR="003228D4">
        <w:rPr>
          <w:rFonts w:cs="HelveticaNeue-Light"/>
          <w:sz w:val="20"/>
          <w:szCs w:val="20"/>
        </w:rPr>
        <w:t>M50. While some initial research was done on the route proposed by Transport Infrastructure Ireland (TII), the Leinster Orbital Route, this route has been has shelved due to cost considerations</w:t>
      </w:r>
      <w:r w:rsidR="008D7F83">
        <w:rPr>
          <w:rFonts w:cs="HelveticaNeue-Light"/>
          <w:sz w:val="20"/>
          <w:szCs w:val="20"/>
        </w:rPr>
        <w:t xml:space="preserve"> and the focus on public transport</w:t>
      </w:r>
      <w:r w:rsidR="003228D4">
        <w:rPr>
          <w:rFonts w:cs="HelveticaNeue-Light"/>
          <w:sz w:val="20"/>
          <w:szCs w:val="20"/>
        </w:rPr>
        <w:t xml:space="preserve">.  </w:t>
      </w:r>
    </w:p>
    <w:p w14:paraId="0F844E8F" w14:textId="77777777" w:rsidR="00587075" w:rsidRDefault="00587075" w:rsidP="002F7CF5">
      <w:pPr>
        <w:autoSpaceDE w:val="0"/>
        <w:autoSpaceDN w:val="0"/>
        <w:adjustRightInd w:val="0"/>
        <w:rPr>
          <w:rFonts w:cs="HelveticaNeue-Light"/>
          <w:sz w:val="20"/>
          <w:szCs w:val="20"/>
        </w:rPr>
      </w:pPr>
    </w:p>
    <w:p w14:paraId="61C66E22" w14:textId="184CC870" w:rsidR="00587075" w:rsidRPr="008E47D7" w:rsidRDefault="00587075" w:rsidP="002F7CF5">
      <w:pPr>
        <w:autoSpaceDE w:val="0"/>
        <w:autoSpaceDN w:val="0"/>
        <w:adjustRightInd w:val="0"/>
        <w:rPr>
          <w:rFonts w:cs="HelveticaNeue-Light"/>
          <w:sz w:val="20"/>
          <w:szCs w:val="20"/>
        </w:rPr>
      </w:pPr>
      <w:r w:rsidRPr="008E47D7">
        <w:rPr>
          <w:rFonts w:cs="HelveticaNeue-Light"/>
          <w:sz w:val="20"/>
          <w:szCs w:val="20"/>
        </w:rPr>
        <w:t xml:space="preserve">The above issues are of immediate concern to the civil engineering sector, as they imply that there is limited scope for new capital investment in road projects until 2020.  </w:t>
      </w:r>
    </w:p>
    <w:p w14:paraId="628E513C" w14:textId="77777777" w:rsidR="009B5A53" w:rsidRPr="006F51F1" w:rsidRDefault="009B5A53" w:rsidP="002F7CF5">
      <w:pPr>
        <w:autoSpaceDE w:val="0"/>
        <w:autoSpaceDN w:val="0"/>
        <w:adjustRightInd w:val="0"/>
        <w:rPr>
          <w:rFonts w:cs="HelveticaNeue-Light"/>
          <w:sz w:val="20"/>
          <w:szCs w:val="20"/>
        </w:rPr>
      </w:pPr>
    </w:p>
    <w:p w14:paraId="40307C37" w14:textId="74EE17D9" w:rsidR="00DF6CDC" w:rsidRDefault="009B5A53" w:rsidP="008D7F83">
      <w:pPr>
        <w:pStyle w:val="ListParagraph"/>
        <w:spacing w:after="0" w:line="280" w:lineRule="atLeast"/>
        <w:ind w:left="0"/>
        <w:jc w:val="both"/>
        <w:rPr>
          <w:rFonts w:cs="HelveticaNeue-Light"/>
          <w:sz w:val="20"/>
          <w:szCs w:val="20"/>
        </w:rPr>
      </w:pPr>
      <w:r w:rsidRPr="006F51F1">
        <w:rPr>
          <w:rFonts w:cs="HelveticaNeue-Light"/>
          <w:sz w:val="20"/>
          <w:szCs w:val="20"/>
        </w:rPr>
        <w:t>As alre</w:t>
      </w:r>
      <w:r w:rsidR="00F64F9B" w:rsidRPr="006F51F1">
        <w:rPr>
          <w:rFonts w:cs="HelveticaNeue-Light"/>
          <w:sz w:val="20"/>
          <w:szCs w:val="20"/>
        </w:rPr>
        <w:t>a</w:t>
      </w:r>
      <w:r w:rsidRPr="006F51F1">
        <w:rPr>
          <w:rFonts w:cs="HelveticaNeue-Light"/>
          <w:sz w:val="20"/>
          <w:szCs w:val="20"/>
        </w:rPr>
        <w:t>dy noted the</w:t>
      </w:r>
      <w:r w:rsidR="00F64F9B" w:rsidRPr="006F51F1">
        <w:rPr>
          <w:rFonts w:cs="HelveticaNeue-Light"/>
          <w:sz w:val="20"/>
          <w:szCs w:val="20"/>
        </w:rPr>
        <w:t xml:space="preserve"> </w:t>
      </w:r>
      <w:r w:rsidR="00F64F9B" w:rsidRPr="006F51F1">
        <w:rPr>
          <w:sz w:val="20"/>
          <w:szCs w:val="20"/>
        </w:rPr>
        <w:t>total investment in Public Transport over the seven years is projected at €3.6</w:t>
      </w:r>
      <w:r w:rsidR="008D7F83">
        <w:rPr>
          <w:sz w:val="20"/>
          <w:szCs w:val="20"/>
        </w:rPr>
        <w:t xml:space="preserve"> billion</w:t>
      </w:r>
      <w:r w:rsidR="003228D4" w:rsidRPr="006F51F1">
        <w:rPr>
          <w:sz w:val="20"/>
          <w:szCs w:val="20"/>
        </w:rPr>
        <w:t>, of which €2.6</w:t>
      </w:r>
      <w:r w:rsidR="008D7F83">
        <w:rPr>
          <w:sz w:val="20"/>
          <w:szCs w:val="20"/>
        </w:rPr>
        <w:t xml:space="preserve"> billion</w:t>
      </w:r>
      <w:r w:rsidR="003228D4" w:rsidRPr="006F51F1">
        <w:rPr>
          <w:sz w:val="20"/>
          <w:szCs w:val="20"/>
        </w:rPr>
        <w:t xml:space="preserve"> represents</w:t>
      </w:r>
      <w:r w:rsidR="006F51F1" w:rsidRPr="006F51F1">
        <w:rPr>
          <w:sz w:val="20"/>
          <w:szCs w:val="20"/>
        </w:rPr>
        <w:t xml:space="preserve"> </w:t>
      </w:r>
      <w:r w:rsidR="003228D4" w:rsidRPr="006F51F1">
        <w:rPr>
          <w:sz w:val="20"/>
          <w:szCs w:val="20"/>
        </w:rPr>
        <w:t>stead</w:t>
      </w:r>
      <w:r w:rsidR="006F51F1" w:rsidRPr="006F51F1">
        <w:rPr>
          <w:sz w:val="20"/>
          <w:szCs w:val="20"/>
        </w:rPr>
        <w:t>y</w:t>
      </w:r>
      <w:r w:rsidR="003228D4" w:rsidRPr="006F51F1">
        <w:rPr>
          <w:sz w:val="20"/>
          <w:szCs w:val="20"/>
        </w:rPr>
        <w:t xml:space="preserve"> state investment. </w:t>
      </w:r>
      <w:r w:rsidR="008D7F83">
        <w:rPr>
          <w:rStyle w:val="FootnoteReference"/>
          <w:sz w:val="20"/>
          <w:szCs w:val="20"/>
        </w:rPr>
        <w:footnoteReference w:id="64"/>
      </w:r>
      <w:r w:rsidR="00DF6CDC">
        <w:rPr>
          <w:sz w:val="20"/>
          <w:szCs w:val="20"/>
        </w:rPr>
        <w:t>Within the total PCP provision for</w:t>
      </w:r>
      <w:r w:rsidR="00DF6CDC" w:rsidRPr="00E43A20">
        <w:rPr>
          <w:rFonts w:cs="HelveticaNeue-Light"/>
          <w:sz w:val="20"/>
          <w:szCs w:val="20"/>
        </w:rPr>
        <w:t xml:space="preserve"> </w:t>
      </w:r>
      <w:r w:rsidR="00DF6CDC">
        <w:rPr>
          <w:rFonts w:cs="HelveticaNeue-Light"/>
          <w:sz w:val="20"/>
          <w:szCs w:val="20"/>
        </w:rPr>
        <w:t>TT&amp;S</w:t>
      </w:r>
      <w:r w:rsidR="00DF6CDC" w:rsidRPr="00E43A20">
        <w:rPr>
          <w:rFonts w:cs="HelveticaNeue-Light"/>
          <w:sz w:val="20"/>
          <w:szCs w:val="20"/>
        </w:rPr>
        <w:t xml:space="preserve"> in 2017 is </w:t>
      </w:r>
      <w:r w:rsidR="00DF6CDC">
        <w:rPr>
          <w:rFonts w:cs="HelveticaNeue-Light"/>
          <w:sz w:val="20"/>
          <w:szCs w:val="20"/>
        </w:rPr>
        <w:t>€1.584 million, the total investment in public transport is €406.95m in 2017, which is 9.3 per cent below the corresponding provision in 2016</w:t>
      </w:r>
      <w:r w:rsidR="00DF6CDC">
        <w:rPr>
          <w:rStyle w:val="FootnoteReference"/>
          <w:rFonts w:cs="HelveticaNeue-Light"/>
          <w:sz w:val="20"/>
          <w:szCs w:val="20"/>
        </w:rPr>
        <w:footnoteReference w:id="65"/>
      </w:r>
      <w:r w:rsidR="00DF6CDC">
        <w:rPr>
          <w:rFonts w:cs="HelveticaNeue-Light"/>
          <w:sz w:val="20"/>
          <w:szCs w:val="20"/>
        </w:rPr>
        <w:t xml:space="preserve">. </w:t>
      </w:r>
    </w:p>
    <w:p w14:paraId="57C65511" w14:textId="77777777" w:rsidR="00CC39A6" w:rsidRDefault="00CC39A6" w:rsidP="00DF6CDC">
      <w:pPr>
        <w:autoSpaceDE w:val="0"/>
        <w:autoSpaceDN w:val="0"/>
        <w:adjustRightInd w:val="0"/>
        <w:rPr>
          <w:rFonts w:cs="HelveticaNeue-Light"/>
          <w:sz w:val="20"/>
          <w:szCs w:val="20"/>
        </w:rPr>
      </w:pPr>
    </w:p>
    <w:p w14:paraId="6EBA5686" w14:textId="7D963B5A" w:rsidR="00CC39A6" w:rsidRPr="00922318" w:rsidRDefault="00CC39A6" w:rsidP="00922318">
      <w:pPr>
        <w:pStyle w:val="DKMBodyText"/>
        <w:rPr>
          <w:rFonts w:asciiTheme="minorHAnsi" w:hAnsiTheme="minorHAnsi"/>
          <w:b/>
          <w:color w:val="005596"/>
          <w:sz w:val="20"/>
          <w:szCs w:val="20"/>
        </w:rPr>
      </w:pPr>
      <w:r w:rsidRPr="00922318">
        <w:rPr>
          <w:rFonts w:asciiTheme="minorHAnsi" w:hAnsiTheme="minorHAnsi"/>
          <w:b/>
          <w:color w:val="005596"/>
          <w:sz w:val="20"/>
          <w:szCs w:val="20"/>
        </w:rPr>
        <w:t xml:space="preserve"> Broadband</w:t>
      </w:r>
    </w:p>
    <w:p w14:paraId="3B9141D5" w14:textId="3BAA7380" w:rsidR="003228D4" w:rsidRDefault="00E67108" w:rsidP="00EB5F14">
      <w:pPr>
        <w:autoSpaceDE w:val="0"/>
        <w:autoSpaceDN w:val="0"/>
        <w:adjustRightInd w:val="0"/>
        <w:rPr>
          <w:sz w:val="20"/>
          <w:szCs w:val="20"/>
        </w:rPr>
      </w:pPr>
      <w:r>
        <w:rPr>
          <w:sz w:val="20"/>
          <w:szCs w:val="20"/>
        </w:rPr>
        <w:t>The broadband sector is largely privatised but the State has an important role to play in delivering a high quality</w:t>
      </w:r>
      <w:r w:rsidR="00C7701D">
        <w:rPr>
          <w:sz w:val="20"/>
          <w:szCs w:val="20"/>
        </w:rPr>
        <w:t xml:space="preserve"> and reliable </w:t>
      </w:r>
      <w:r>
        <w:rPr>
          <w:sz w:val="20"/>
          <w:szCs w:val="20"/>
        </w:rPr>
        <w:t xml:space="preserve">connected society. </w:t>
      </w:r>
      <w:r w:rsidR="00C7701D">
        <w:rPr>
          <w:sz w:val="20"/>
          <w:szCs w:val="20"/>
        </w:rPr>
        <w:t>The roll out of broadband is currently being delivered through the National Broadband Plan</w:t>
      </w:r>
      <w:r w:rsidR="008D7F83">
        <w:rPr>
          <w:sz w:val="20"/>
          <w:szCs w:val="20"/>
        </w:rPr>
        <w:t>. The Plan aims to provide high speed broadband to 1.6 million (70%) of 2.3 million premises across the country.</w:t>
      </w:r>
      <w:r w:rsidR="00C7701D">
        <w:rPr>
          <w:sz w:val="20"/>
          <w:szCs w:val="20"/>
        </w:rPr>
        <w:t xml:space="preserve"> </w:t>
      </w:r>
      <w:r w:rsidR="008D7F83">
        <w:rPr>
          <w:sz w:val="20"/>
          <w:szCs w:val="20"/>
        </w:rPr>
        <w:t xml:space="preserve">The remaining </w:t>
      </w:r>
      <w:r w:rsidR="00EB5F14">
        <w:rPr>
          <w:sz w:val="20"/>
          <w:szCs w:val="20"/>
        </w:rPr>
        <w:t>700,000 (</w:t>
      </w:r>
      <w:r w:rsidR="008D7F83">
        <w:rPr>
          <w:sz w:val="20"/>
          <w:szCs w:val="20"/>
        </w:rPr>
        <w:t>30</w:t>
      </w:r>
      <w:r w:rsidR="00EB5F14">
        <w:rPr>
          <w:sz w:val="20"/>
          <w:szCs w:val="20"/>
        </w:rPr>
        <w:t>%)</w:t>
      </w:r>
      <w:r w:rsidR="008D7F83">
        <w:rPr>
          <w:sz w:val="20"/>
          <w:szCs w:val="20"/>
        </w:rPr>
        <w:t xml:space="preserve"> of premises are to be covered by State intervention</w:t>
      </w:r>
      <w:r w:rsidR="00EB5F14">
        <w:rPr>
          <w:sz w:val="20"/>
          <w:szCs w:val="20"/>
        </w:rPr>
        <w:t xml:space="preserve"> but will take 3 to 4 years to roll out.</w:t>
      </w:r>
    </w:p>
    <w:p w14:paraId="5D93E2C4" w14:textId="77777777" w:rsidR="00EB5F14" w:rsidRDefault="00EB5F14" w:rsidP="00EB5F14">
      <w:pPr>
        <w:autoSpaceDE w:val="0"/>
        <w:autoSpaceDN w:val="0"/>
        <w:adjustRightInd w:val="0"/>
        <w:rPr>
          <w:sz w:val="20"/>
          <w:szCs w:val="20"/>
        </w:rPr>
      </w:pPr>
    </w:p>
    <w:p w14:paraId="013D100E" w14:textId="30424288" w:rsidR="00EB5F14" w:rsidRDefault="00EB5F14" w:rsidP="00EB5F14">
      <w:pPr>
        <w:autoSpaceDE w:val="0"/>
        <w:autoSpaceDN w:val="0"/>
        <w:adjustRightInd w:val="0"/>
        <w:rPr>
          <w:rFonts w:cs="Arial"/>
          <w:sz w:val="20"/>
          <w:szCs w:val="20"/>
          <w:shd w:val="clear" w:color="auto" w:fill="FFFFFF"/>
        </w:rPr>
      </w:pPr>
      <w:r w:rsidRPr="00EB5F14">
        <w:rPr>
          <w:sz w:val="20"/>
          <w:szCs w:val="20"/>
        </w:rPr>
        <w:t xml:space="preserve">The Department of Communications, Climate Action and Environment has recently stated that consumers in Ireland are spending €10 per person per day online. With online spending projected to reach €20 billion by 2020, the roll out of a reliable and high speed broadband across the country is critically important to support consumers, and SMEs as well as regional economic growth and job creation. </w:t>
      </w:r>
      <w:r w:rsidRPr="00EB5F14">
        <w:rPr>
          <w:rFonts w:cs="Arial"/>
          <w:sz w:val="20"/>
          <w:szCs w:val="20"/>
          <w:shd w:val="clear" w:color="auto" w:fill="FFFFFF"/>
        </w:rPr>
        <w:t>Farming, education, business, health, tourism, communities and government should all benefit from better connectivity</w:t>
      </w:r>
      <w:r>
        <w:rPr>
          <w:rFonts w:cs="Arial"/>
          <w:sz w:val="20"/>
          <w:szCs w:val="20"/>
          <w:shd w:val="clear" w:color="auto" w:fill="FFFFFF"/>
        </w:rPr>
        <w:t xml:space="preserve">. </w:t>
      </w:r>
    </w:p>
    <w:p w14:paraId="3A8B9850" w14:textId="04D08060" w:rsidR="00B01666" w:rsidRPr="00EB5F14" w:rsidRDefault="00BB2947" w:rsidP="00FD03B0">
      <w:pPr>
        <w:pStyle w:val="DKM2"/>
        <w:rPr>
          <w:sz w:val="22"/>
          <w:szCs w:val="22"/>
        </w:rPr>
      </w:pPr>
      <w:bookmarkStart w:id="39" w:name="_Toc478116695"/>
      <w:r w:rsidRPr="00EB5F14">
        <w:rPr>
          <w:sz w:val="22"/>
          <w:szCs w:val="22"/>
        </w:rPr>
        <w:t>Fiscal Space and the Implications for Construction Investment</w:t>
      </w:r>
      <w:bookmarkEnd w:id="39"/>
    </w:p>
    <w:p w14:paraId="6826E10B" w14:textId="1DD1A020" w:rsidR="00AE7D30" w:rsidRPr="006A5CF7" w:rsidRDefault="00AE7D30" w:rsidP="0020283C">
      <w:pPr>
        <w:pStyle w:val="Default"/>
        <w:spacing w:line="280" w:lineRule="atLeast"/>
        <w:jc w:val="both"/>
        <w:rPr>
          <w:rFonts w:asciiTheme="minorHAnsi" w:hAnsiTheme="minorHAnsi" w:cs="HelveticaNeue-Light"/>
          <w:sz w:val="20"/>
          <w:szCs w:val="20"/>
        </w:rPr>
      </w:pPr>
      <w:r w:rsidRPr="00E43A20">
        <w:rPr>
          <w:rFonts w:asciiTheme="minorHAnsi" w:hAnsiTheme="minorHAnsi" w:cs="HelveticaNeue-Light"/>
          <w:sz w:val="20"/>
          <w:szCs w:val="20"/>
        </w:rPr>
        <w:t xml:space="preserve">Typically, funding for infrastructure can be increased by unlocking new funding streams such as increasing user charges, capturing property value, and selling assets and recycling the proceeds for new infrastructure. The fiscal rules that were introduced during the economic crisis in Europe are aimed at ensuring that spending is sustainable over </w:t>
      </w:r>
      <w:r w:rsidR="0035447D">
        <w:rPr>
          <w:rFonts w:asciiTheme="minorHAnsi" w:hAnsiTheme="minorHAnsi" w:cs="HelveticaNeue-Light"/>
          <w:sz w:val="20"/>
          <w:szCs w:val="20"/>
        </w:rPr>
        <w:t>the</w:t>
      </w:r>
      <w:r w:rsidRPr="00E43A20">
        <w:rPr>
          <w:rFonts w:asciiTheme="minorHAnsi" w:hAnsiTheme="minorHAnsi" w:cs="HelveticaNeue-Light"/>
          <w:sz w:val="20"/>
          <w:szCs w:val="20"/>
        </w:rPr>
        <w:t xml:space="preserve"> medium- and long-term</w:t>
      </w:r>
      <w:r w:rsidR="0035447D">
        <w:rPr>
          <w:rFonts w:asciiTheme="minorHAnsi" w:hAnsiTheme="minorHAnsi" w:cs="HelveticaNeue-Light"/>
          <w:sz w:val="20"/>
          <w:szCs w:val="20"/>
        </w:rPr>
        <w:t>.</w:t>
      </w:r>
      <w:r w:rsidRPr="00E43A20">
        <w:rPr>
          <w:rFonts w:asciiTheme="minorHAnsi" w:hAnsiTheme="minorHAnsi" w:cs="HelveticaNeue-Light"/>
          <w:sz w:val="20"/>
          <w:szCs w:val="20"/>
        </w:rPr>
        <w:t xml:space="preserve"> However, they also restrict the ability of the State to invest for productive purposes.</w:t>
      </w:r>
      <w:r w:rsidR="0020283C">
        <w:rPr>
          <w:rFonts w:asciiTheme="minorHAnsi" w:hAnsiTheme="minorHAnsi" w:cs="HelveticaNeue-Light"/>
          <w:sz w:val="20"/>
          <w:szCs w:val="20"/>
        </w:rPr>
        <w:t xml:space="preserve"> For 2018,</w:t>
      </w:r>
      <w:r w:rsidR="009D3227" w:rsidRPr="009D3227">
        <w:rPr>
          <w:rFonts w:asciiTheme="minorHAnsi" w:hAnsiTheme="minorHAnsi" w:cs="HelveticaNeue-Light"/>
          <w:sz w:val="20"/>
          <w:szCs w:val="20"/>
        </w:rPr>
        <w:t xml:space="preserve"> the</w:t>
      </w:r>
      <w:r w:rsidRPr="009D3227">
        <w:rPr>
          <w:rFonts w:asciiTheme="minorHAnsi" w:hAnsiTheme="minorHAnsi"/>
          <w:sz w:val="20"/>
          <w:szCs w:val="20"/>
          <w:lang w:val="en-GB"/>
        </w:rPr>
        <w:t xml:space="preserve"> net </w:t>
      </w:r>
      <w:r w:rsidR="00430C0B">
        <w:rPr>
          <w:rFonts w:asciiTheme="minorHAnsi" w:hAnsiTheme="minorHAnsi"/>
          <w:sz w:val="20"/>
          <w:szCs w:val="20"/>
          <w:lang w:val="en-GB"/>
        </w:rPr>
        <w:t>f</w:t>
      </w:r>
      <w:r w:rsidRPr="009D3227">
        <w:rPr>
          <w:rFonts w:asciiTheme="minorHAnsi" w:hAnsiTheme="minorHAnsi"/>
          <w:sz w:val="20"/>
          <w:szCs w:val="20"/>
          <w:lang w:val="en-GB"/>
        </w:rPr>
        <w:t xml:space="preserve">iscal </w:t>
      </w:r>
      <w:r w:rsidR="00430C0B">
        <w:rPr>
          <w:rFonts w:asciiTheme="minorHAnsi" w:hAnsiTheme="minorHAnsi"/>
          <w:sz w:val="20"/>
          <w:szCs w:val="20"/>
          <w:lang w:val="en-GB"/>
        </w:rPr>
        <w:t>s</w:t>
      </w:r>
      <w:r w:rsidRPr="009D3227">
        <w:rPr>
          <w:rFonts w:asciiTheme="minorHAnsi" w:hAnsiTheme="minorHAnsi"/>
          <w:sz w:val="20"/>
          <w:szCs w:val="20"/>
          <w:lang w:val="en-GB"/>
        </w:rPr>
        <w:t>pace available for increased Government Expenditure in 2018 is €1.2</w:t>
      </w:r>
      <w:r w:rsidR="007D0C5C">
        <w:rPr>
          <w:rFonts w:asciiTheme="minorHAnsi" w:hAnsiTheme="minorHAnsi"/>
          <w:sz w:val="20"/>
          <w:szCs w:val="20"/>
          <w:lang w:val="en-GB"/>
        </w:rPr>
        <w:t xml:space="preserve"> billion</w:t>
      </w:r>
      <w:r w:rsidRPr="009D3227">
        <w:rPr>
          <w:rFonts w:asciiTheme="minorHAnsi" w:hAnsiTheme="minorHAnsi"/>
          <w:sz w:val="20"/>
          <w:szCs w:val="20"/>
          <w:lang w:val="en-GB"/>
        </w:rPr>
        <w:t>.</w:t>
      </w:r>
      <w:r w:rsidRPr="009D3227">
        <w:rPr>
          <w:rStyle w:val="FootnoteReference"/>
          <w:rFonts w:asciiTheme="minorHAnsi" w:hAnsiTheme="minorHAnsi" w:cs="HelveticaNeue-Light"/>
          <w:sz w:val="20"/>
          <w:szCs w:val="20"/>
        </w:rPr>
        <w:t xml:space="preserve"> </w:t>
      </w:r>
      <w:r w:rsidRPr="009D3227">
        <w:rPr>
          <w:rStyle w:val="FootnoteReference"/>
          <w:rFonts w:asciiTheme="minorHAnsi" w:hAnsiTheme="minorHAnsi" w:cs="HelveticaNeue-Light"/>
          <w:sz w:val="20"/>
          <w:szCs w:val="20"/>
        </w:rPr>
        <w:footnoteReference w:id="66"/>
      </w:r>
      <w:r w:rsidRPr="009D3227">
        <w:rPr>
          <w:rFonts w:asciiTheme="minorHAnsi" w:hAnsiTheme="minorHAnsi" w:cs="HelveticaNeue-Light"/>
          <w:sz w:val="20"/>
          <w:szCs w:val="20"/>
        </w:rPr>
        <w:t xml:space="preserve"> This will be allocated on the basis of a €600</w:t>
      </w:r>
      <w:r w:rsidR="007D0C5C">
        <w:rPr>
          <w:rFonts w:asciiTheme="minorHAnsi" w:hAnsiTheme="minorHAnsi" w:cs="HelveticaNeue-Light"/>
          <w:sz w:val="20"/>
          <w:szCs w:val="20"/>
        </w:rPr>
        <w:t xml:space="preserve"> million</w:t>
      </w:r>
      <w:r w:rsidRPr="009D3227">
        <w:rPr>
          <w:rFonts w:asciiTheme="minorHAnsi" w:hAnsiTheme="minorHAnsi" w:cs="HelveticaNeue-Light"/>
          <w:sz w:val="20"/>
          <w:szCs w:val="20"/>
        </w:rPr>
        <w:t xml:space="preserve"> increase in current expenditure, a €200</w:t>
      </w:r>
      <w:r w:rsidR="007D0C5C">
        <w:rPr>
          <w:rFonts w:asciiTheme="minorHAnsi" w:hAnsiTheme="minorHAnsi" w:cs="HelveticaNeue-Light"/>
          <w:sz w:val="20"/>
          <w:szCs w:val="20"/>
        </w:rPr>
        <w:t xml:space="preserve"> million</w:t>
      </w:r>
      <w:r w:rsidRPr="009D3227">
        <w:rPr>
          <w:rFonts w:asciiTheme="minorHAnsi" w:hAnsiTheme="minorHAnsi" w:cs="HelveticaNeue-Light"/>
          <w:sz w:val="20"/>
          <w:szCs w:val="20"/>
        </w:rPr>
        <w:t xml:space="preserve"> allocation for capital expenditure increases, and €400</w:t>
      </w:r>
      <w:r w:rsidR="007D0C5C">
        <w:rPr>
          <w:rFonts w:asciiTheme="minorHAnsi" w:hAnsiTheme="minorHAnsi" w:cs="HelveticaNeue-Light"/>
          <w:sz w:val="20"/>
          <w:szCs w:val="20"/>
        </w:rPr>
        <w:t xml:space="preserve"> million</w:t>
      </w:r>
      <w:r w:rsidRPr="009D3227">
        <w:rPr>
          <w:rFonts w:asciiTheme="minorHAnsi" w:hAnsiTheme="minorHAnsi" w:cs="HelveticaNeue-Light"/>
          <w:sz w:val="20"/>
          <w:szCs w:val="20"/>
        </w:rPr>
        <w:t xml:space="preserve"> for tax reductions.</w:t>
      </w:r>
      <w:r w:rsidR="0020283C">
        <w:rPr>
          <w:rFonts w:asciiTheme="minorHAnsi" w:hAnsiTheme="minorHAnsi" w:cs="HelveticaNeue-Light"/>
          <w:sz w:val="20"/>
          <w:szCs w:val="20"/>
        </w:rPr>
        <w:t xml:space="preserve"> </w:t>
      </w:r>
    </w:p>
    <w:p w14:paraId="36944BBF" w14:textId="77777777" w:rsidR="00AE7D30" w:rsidRPr="00E43A20" w:rsidRDefault="00AE7D30" w:rsidP="00E43A20">
      <w:pPr>
        <w:autoSpaceDE w:val="0"/>
        <w:autoSpaceDN w:val="0"/>
        <w:adjustRightInd w:val="0"/>
        <w:rPr>
          <w:rFonts w:cs="HelveticaNeue-Light"/>
          <w:b/>
          <w:sz w:val="20"/>
          <w:szCs w:val="20"/>
        </w:rPr>
      </w:pPr>
    </w:p>
    <w:p w14:paraId="722AB5AD" w14:textId="6FF174F0" w:rsidR="00AE7D30" w:rsidRPr="006E0F31" w:rsidRDefault="00AE7D30" w:rsidP="006E0F31">
      <w:pPr>
        <w:autoSpaceDE w:val="0"/>
        <w:autoSpaceDN w:val="0"/>
        <w:adjustRightInd w:val="0"/>
        <w:rPr>
          <w:rFonts w:cs="HelveticaNeue-Light"/>
          <w:sz w:val="20"/>
          <w:szCs w:val="20"/>
        </w:rPr>
      </w:pPr>
      <w:r w:rsidRPr="006E0F31">
        <w:rPr>
          <w:rFonts w:cs="HelveticaNeue-Light"/>
          <w:sz w:val="20"/>
          <w:szCs w:val="20"/>
        </w:rPr>
        <w:t xml:space="preserve">According to the Summer Economic Statement, there will be </w:t>
      </w:r>
      <w:r w:rsidR="00EE07B5" w:rsidRPr="006E0F31">
        <w:rPr>
          <w:rFonts w:cs="HelveticaNeue-Light"/>
          <w:sz w:val="20"/>
          <w:szCs w:val="20"/>
        </w:rPr>
        <w:t xml:space="preserve">a </w:t>
      </w:r>
      <w:r w:rsidRPr="006E0F31">
        <w:rPr>
          <w:rFonts w:cs="HelveticaNeue-Light"/>
          <w:sz w:val="20"/>
          <w:szCs w:val="20"/>
        </w:rPr>
        <w:t>net fiscal space of €11.3</w:t>
      </w:r>
      <w:r w:rsidR="007D0C5C" w:rsidRPr="006E0F31">
        <w:rPr>
          <w:rFonts w:cs="HelveticaNeue-Light"/>
          <w:sz w:val="20"/>
          <w:szCs w:val="20"/>
        </w:rPr>
        <w:t xml:space="preserve"> billion</w:t>
      </w:r>
      <w:r w:rsidRPr="006E0F31">
        <w:rPr>
          <w:rFonts w:cs="HelveticaNeue-Light"/>
          <w:sz w:val="20"/>
          <w:szCs w:val="20"/>
        </w:rPr>
        <w:t xml:space="preserve"> available to the Government over the period 2017 to 2021. This will be comprised of an allocation of €4.17</w:t>
      </w:r>
      <w:r w:rsidR="007D0C5C" w:rsidRPr="006E0F31">
        <w:rPr>
          <w:rFonts w:cs="HelveticaNeue-Light"/>
          <w:sz w:val="20"/>
          <w:szCs w:val="20"/>
        </w:rPr>
        <w:t xml:space="preserve"> billion</w:t>
      </w:r>
      <w:r w:rsidRPr="006E0F31">
        <w:rPr>
          <w:rFonts w:cs="HelveticaNeue-Light"/>
          <w:sz w:val="20"/>
          <w:szCs w:val="20"/>
        </w:rPr>
        <w:t xml:space="preserve"> to current expenditure, €1.59</w:t>
      </w:r>
      <w:r w:rsidR="007D0C5C" w:rsidRPr="006E0F31">
        <w:rPr>
          <w:rFonts w:cs="HelveticaNeue-Light"/>
          <w:sz w:val="20"/>
          <w:szCs w:val="20"/>
        </w:rPr>
        <w:t xml:space="preserve"> billion</w:t>
      </w:r>
      <w:r w:rsidRPr="006E0F31">
        <w:rPr>
          <w:rFonts w:cs="HelveticaNeue-Light"/>
          <w:sz w:val="20"/>
          <w:szCs w:val="20"/>
        </w:rPr>
        <w:t xml:space="preserve"> to capital expenditure, €2.54</w:t>
      </w:r>
      <w:r w:rsidR="007D0C5C" w:rsidRPr="006E0F31">
        <w:rPr>
          <w:rFonts w:cs="HelveticaNeue-Light"/>
          <w:sz w:val="20"/>
          <w:szCs w:val="20"/>
        </w:rPr>
        <w:t xml:space="preserve"> billion</w:t>
      </w:r>
      <w:r w:rsidRPr="006E0F31">
        <w:rPr>
          <w:rFonts w:cs="HelveticaNeue-Light"/>
          <w:sz w:val="20"/>
          <w:szCs w:val="20"/>
        </w:rPr>
        <w:t xml:space="preserve"> to taxation, and €3</w:t>
      </w:r>
      <w:r w:rsidR="007D0C5C" w:rsidRPr="006E0F31">
        <w:rPr>
          <w:rFonts w:cs="HelveticaNeue-Light"/>
          <w:sz w:val="20"/>
          <w:szCs w:val="20"/>
        </w:rPr>
        <w:t xml:space="preserve"> billion</w:t>
      </w:r>
      <w:r w:rsidRPr="006E0F31">
        <w:rPr>
          <w:rFonts w:cs="HelveticaNeue-Light"/>
          <w:sz w:val="20"/>
          <w:szCs w:val="20"/>
        </w:rPr>
        <w:t xml:space="preserve"> to a Rainy Day Fund from 2019. As can be observed, an additional €5.14</w:t>
      </w:r>
      <w:r w:rsidR="007D0C5C" w:rsidRPr="006E0F31">
        <w:rPr>
          <w:rFonts w:cs="HelveticaNeue-Light"/>
          <w:sz w:val="20"/>
          <w:szCs w:val="20"/>
        </w:rPr>
        <w:t xml:space="preserve"> billion</w:t>
      </w:r>
      <w:r w:rsidRPr="006E0F31">
        <w:rPr>
          <w:rFonts w:cs="HelveticaNeue-Light"/>
          <w:sz w:val="20"/>
          <w:szCs w:val="20"/>
        </w:rPr>
        <w:t xml:space="preserve"> is allocated to capital expenditure outside of the </w:t>
      </w:r>
      <w:r w:rsidR="00430C0B" w:rsidRPr="006E0F31">
        <w:rPr>
          <w:rFonts w:cs="HelveticaNeue-Light"/>
          <w:sz w:val="20"/>
          <w:szCs w:val="20"/>
        </w:rPr>
        <w:t>f</w:t>
      </w:r>
      <w:r w:rsidRPr="006E0F31">
        <w:rPr>
          <w:rFonts w:cs="HelveticaNeue-Light"/>
          <w:sz w:val="20"/>
          <w:szCs w:val="20"/>
        </w:rPr>
        <w:t xml:space="preserve">iscal </w:t>
      </w:r>
      <w:r w:rsidR="00430C0B" w:rsidRPr="006E0F31">
        <w:rPr>
          <w:rFonts w:cs="HelveticaNeue-Light"/>
          <w:sz w:val="20"/>
          <w:szCs w:val="20"/>
        </w:rPr>
        <w:t>s</w:t>
      </w:r>
      <w:r w:rsidRPr="006E0F31">
        <w:rPr>
          <w:rFonts w:cs="HelveticaNeue-Light"/>
          <w:sz w:val="20"/>
          <w:szCs w:val="20"/>
        </w:rPr>
        <w:t>pace framework via an increase to the baseline Gross Voted Capital Expenditure allocation</w:t>
      </w:r>
      <w:r w:rsidR="006E0F31">
        <w:rPr>
          <w:rStyle w:val="FootnoteReference"/>
          <w:rFonts w:cs="HelveticaNeue-Light"/>
          <w:sz w:val="20"/>
          <w:szCs w:val="20"/>
        </w:rPr>
        <w:footnoteReference w:id="67"/>
      </w:r>
      <w:r w:rsidRPr="006E0F31">
        <w:rPr>
          <w:rFonts w:cs="HelveticaNeue-Light"/>
          <w:sz w:val="20"/>
          <w:szCs w:val="20"/>
        </w:rPr>
        <w:t xml:space="preserve">. </w:t>
      </w:r>
      <w:r w:rsidR="006E0F31" w:rsidRPr="006E0F31">
        <w:rPr>
          <w:sz w:val="20"/>
          <w:szCs w:val="20"/>
        </w:rPr>
        <w:t xml:space="preserve">However there is some inconsistency between </w:t>
      </w:r>
      <w:r w:rsidR="006E0F31" w:rsidRPr="006E0F31">
        <w:rPr>
          <w:rFonts w:cs="HelveticaNeue-Light"/>
          <w:sz w:val="20"/>
          <w:szCs w:val="20"/>
        </w:rPr>
        <w:t>th</w:t>
      </w:r>
      <w:r w:rsidR="006E0F31">
        <w:rPr>
          <w:rFonts w:cs="HelveticaNeue-Light"/>
          <w:sz w:val="20"/>
          <w:szCs w:val="20"/>
        </w:rPr>
        <w:t>is</w:t>
      </w:r>
      <w:r w:rsidR="006E0F31" w:rsidRPr="006E0F31">
        <w:rPr>
          <w:rFonts w:cs="HelveticaNeue-Light"/>
          <w:sz w:val="20"/>
          <w:szCs w:val="20"/>
        </w:rPr>
        <w:t xml:space="preserve"> additional €5.14 billion of capital investment and the additional </w:t>
      </w:r>
      <w:r w:rsidR="006E0F31" w:rsidRPr="006E0F31">
        <w:rPr>
          <w:sz w:val="20"/>
          <w:szCs w:val="20"/>
        </w:rPr>
        <w:t xml:space="preserve">€6.66 billion over the </w:t>
      </w:r>
      <w:r w:rsidR="006E0F31">
        <w:rPr>
          <w:sz w:val="20"/>
          <w:szCs w:val="20"/>
        </w:rPr>
        <w:t xml:space="preserve">same </w:t>
      </w:r>
      <w:r w:rsidR="006E0F31" w:rsidRPr="006E0F31">
        <w:rPr>
          <w:sz w:val="20"/>
          <w:szCs w:val="20"/>
        </w:rPr>
        <w:t>period 2017-2021</w:t>
      </w:r>
      <w:r w:rsidR="006E0F31">
        <w:rPr>
          <w:sz w:val="20"/>
          <w:szCs w:val="20"/>
        </w:rPr>
        <w:t xml:space="preserve"> (Table 3.2), calculated by</w:t>
      </w:r>
      <w:r w:rsidR="006E0F31" w:rsidRPr="006E0F31">
        <w:rPr>
          <w:sz w:val="20"/>
          <w:szCs w:val="20"/>
        </w:rPr>
        <w:t xml:space="preserve"> </w:t>
      </w:r>
      <w:r w:rsidR="006E0F31">
        <w:rPr>
          <w:sz w:val="20"/>
          <w:szCs w:val="20"/>
        </w:rPr>
        <w:t xml:space="preserve">comparing </w:t>
      </w:r>
      <w:r w:rsidR="006E0F31" w:rsidRPr="006E0F31">
        <w:rPr>
          <w:sz w:val="20"/>
          <w:szCs w:val="20"/>
        </w:rPr>
        <w:t>the Budget 2017 figures with the Capital Plan.</w:t>
      </w:r>
      <w:r w:rsidR="006E0F31">
        <w:rPr>
          <w:sz w:val="20"/>
          <w:szCs w:val="20"/>
        </w:rPr>
        <w:t xml:space="preserve"> </w:t>
      </w:r>
    </w:p>
    <w:p w14:paraId="6B889F23" w14:textId="77777777" w:rsidR="00AE7D30" w:rsidRPr="00346DCA" w:rsidRDefault="00AE7D30" w:rsidP="00AE7D30">
      <w:pPr>
        <w:pStyle w:val="DKMTable"/>
        <w:spacing w:line="276" w:lineRule="auto"/>
      </w:pPr>
      <w:bookmarkStart w:id="40" w:name="_Toc478116726"/>
      <w:r w:rsidRPr="00346DCA">
        <w:t>Indicative Allocation of Available Net Fiscal Space 2017-2021</w:t>
      </w:r>
      <w:bookmarkEnd w:id="40"/>
    </w:p>
    <w:tbl>
      <w:tblPr>
        <w:tblStyle w:val="ColorfulList-Accent1"/>
        <w:tblW w:w="7369" w:type="dxa"/>
        <w:tblLook w:val="04A0" w:firstRow="1" w:lastRow="0" w:firstColumn="1" w:lastColumn="0" w:noHBand="0" w:noVBand="1"/>
      </w:tblPr>
      <w:tblGrid>
        <w:gridCol w:w="2255"/>
        <w:gridCol w:w="719"/>
        <w:gridCol w:w="751"/>
        <w:gridCol w:w="851"/>
        <w:gridCol w:w="920"/>
        <w:gridCol w:w="713"/>
        <w:gridCol w:w="1160"/>
      </w:tblGrid>
      <w:tr w:rsidR="00AE7D30" w:rsidRPr="00E43A20" w14:paraId="4AA493E5" w14:textId="77777777" w:rsidTr="00E43A2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5" w:type="dxa"/>
            <w:noWrap/>
            <w:hideMark/>
          </w:tcPr>
          <w:p w14:paraId="734DF421" w14:textId="2A2F629D" w:rsidR="00AE7D30" w:rsidRPr="00E43A20" w:rsidRDefault="00EE07B5" w:rsidP="00E43A20">
            <w:pPr>
              <w:spacing w:line="276" w:lineRule="auto"/>
              <w:rPr>
                <w:rFonts w:eastAsia="Times New Roman" w:cs="Times New Roman"/>
                <w:color w:val="FFFFFF"/>
                <w:sz w:val="18"/>
                <w:szCs w:val="18"/>
              </w:rPr>
            </w:pPr>
            <w:r>
              <w:rPr>
                <w:rFonts w:eastAsia="Times New Roman" w:cs="Times New Roman"/>
                <w:color w:val="FFFFFF"/>
                <w:sz w:val="18"/>
                <w:szCs w:val="18"/>
              </w:rPr>
              <w:t>€million</w:t>
            </w:r>
          </w:p>
        </w:tc>
        <w:tc>
          <w:tcPr>
            <w:tcW w:w="719" w:type="dxa"/>
            <w:noWrap/>
            <w:hideMark/>
          </w:tcPr>
          <w:p w14:paraId="109B7DEB" w14:textId="77777777" w:rsidR="00AE7D30" w:rsidRPr="00E43A20" w:rsidRDefault="00AE7D30" w:rsidP="00E43A20">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rPr>
            </w:pPr>
            <w:r w:rsidRPr="00E43A20">
              <w:rPr>
                <w:rFonts w:eastAsia="Times New Roman" w:cs="Times New Roman"/>
                <w:color w:val="FFFFFF"/>
                <w:sz w:val="18"/>
                <w:szCs w:val="18"/>
              </w:rPr>
              <w:t>2017</w:t>
            </w:r>
          </w:p>
        </w:tc>
        <w:tc>
          <w:tcPr>
            <w:tcW w:w="751" w:type="dxa"/>
            <w:noWrap/>
            <w:hideMark/>
          </w:tcPr>
          <w:p w14:paraId="383A5173" w14:textId="77777777" w:rsidR="00AE7D30" w:rsidRPr="00E43A20" w:rsidRDefault="00AE7D30" w:rsidP="00E43A20">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rPr>
            </w:pPr>
            <w:r w:rsidRPr="00E43A20">
              <w:rPr>
                <w:rFonts w:eastAsia="Times New Roman" w:cs="Times New Roman"/>
                <w:color w:val="FFFFFF"/>
                <w:sz w:val="18"/>
                <w:szCs w:val="18"/>
              </w:rPr>
              <w:t>2018</w:t>
            </w:r>
          </w:p>
        </w:tc>
        <w:tc>
          <w:tcPr>
            <w:tcW w:w="851" w:type="dxa"/>
            <w:noWrap/>
            <w:hideMark/>
          </w:tcPr>
          <w:p w14:paraId="305381A5" w14:textId="77777777" w:rsidR="00AE7D30" w:rsidRPr="00E43A20" w:rsidRDefault="00AE7D30" w:rsidP="00E43A20">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rPr>
            </w:pPr>
            <w:r w:rsidRPr="00E43A20">
              <w:rPr>
                <w:rFonts w:eastAsia="Times New Roman" w:cs="Times New Roman"/>
                <w:color w:val="FFFFFF"/>
                <w:sz w:val="18"/>
                <w:szCs w:val="18"/>
              </w:rPr>
              <w:t>2019</w:t>
            </w:r>
          </w:p>
        </w:tc>
        <w:tc>
          <w:tcPr>
            <w:tcW w:w="920" w:type="dxa"/>
            <w:noWrap/>
            <w:hideMark/>
          </w:tcPr>
          <w:p w14:paraId="0EA15AC1" w14:textId="77777777" w:rsidR="00AE7D30" w:rsidRPr="00E43A20" w:rsidRDefault="00AE7D30" w:rsidP="00E43A20">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rPr>
            </w:pPr>
            <w:r w:rsidRPr="00E43A20">
              <w:rPr>
                <w:rFonts w:eastAsia="Times New Roman" w:cs="Times New Roman"/>
                <w:color w:val="FFFFFF"/>
                <w:sz w:val="18"/>
                <w:szCs w:val="18"/>
              </w:rPr>
              <w:t>2020</w:t>
            </w:r>
          </w:p>
        </w:tc>
        <w:tc>
          <w:tcPr>
            <w:tcW w:w="713" w:type="dxa"/>
            <w:noWrap/>
            <w:hideMark/>
          </w:tcPr>
          <w:p w14:paraId="5F236059" w14:textId="77777777" w:rsidR="00AE7D30" w:rsidRPr="00E43A20" w:rsidRDefault="00AE7D30" w:rsidP="00E43A20">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rPr>
            </w:pPr>
            <w:r w:rsidRPr="00E43A20">
              <w:rPr>
                <w:rFonts w:eastAsia="Times New Roman" w:cs="Times New Roman"/>
                <w:color w:val="FFFFFF"/>
                <w:sz w:val="18"/>
                <w:szCs w:val="18"/>
              </w:rPr>
              <w:t>2021</w:t>
            </w:r>
          </w:p>
        </w:tc>
        <w:tc>
          <w:tcPr>
            <w:tcW w:w="1160" w:type="dxa"/>
            <w:noWrap/>
            <w:hideMark/>
          </w:tcPr>
          <w:p w14:paraId="6B34260C" w14:textId="77777777" w:rsidR="00AE7D30" w:rsidRPr="00E43A20" w:rsidRDefault="00AE7D30" w:rsidP="00E43A20">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rPr>
            </w:pPr>
            <w:r w:rsidRPr="00E43A20">
              <w:rPr>
                <w:rFonts w:eastAsia="Times New Roman" w:cs="Times New Roman"/>
                <w:color w:val="FFFFFF"/>
                <w:sz w:val="18"/>
                <w:szCs w:val="18"/>
              </w:rPr>
              <w:t>Cumulative</w:t>
            </w:r>
          </w:p>
        </w:tc>
      </w:tr>
      <w:tr w:rsidR="00AE7D30" w:rsidRPr="00E43A20" w14:paraId="0BDCEED4"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5" w:type="dxa"/>
            <w:noWrap/>
            <w:hideMark/>
          </w:tcPr>
          <w:p w14:paraId="26CA83A5" w14:textId="77777777" w:rsidR="00AE7D30" w:rsidRPr="00E43A20" w:rsidRDefault="00AE7D30" w:rsidP="00E43A20">
            <w:pPr>
              <w:spacing w:line="276" w:lineRule="auto"/>
              <w:rPr>
                <w:rFonts w:eastAsia="Times New Roman" w:cs="Times New Roman"/>
                <w:b/>
                <w:bCs w:val="0"/>
                <w:color w:val="000000"/>
                <w:sz w:val="18"/>
                <w:szCs w:val="18"/>
              </w:rPr>
            </w:pPr>
            <w:r w:rsidRPr="00E43A20">
              <w:rPr>
                <w:rFonts w:eastAsia="Times New Roman" w:cs="Times New Roman"/>
                <w:b/>
                <w:color w:val="000000"/>
                <w:sz w:val="18"/>
                <w:szCs w:val="18"/>
              </w:rPr>
              <w:t>Net Fiscal Space</w:t>
            </w:r>
          </w:p>
        </w:tc>
        <w:tc>
          <w:tcPr>
            <w:tcW w:w="719" w:type="dxa"/>
            <w:noWrap/>
            <w:hideMark/>
          </w:tcPr>
          <w:p w14:paraId="42292769"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1.0</w:t>
            </w:r>
          </w:p>
        </w:tc>
        <w:tc>
          <w:tcPr>
            <w:tcW w:w="751" w:type="dxa"/>
            <w:noWrap/>
            <w:hideMark/>
          </w:tcPr>
          <w:p w14:paraId="3FD9B226"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1.2</w:t>
            </w:r>
          </w:p>
        </w:tc>
        <w:tc>
          <w:tcPr>
            <w:tcW w:w="851" w:type="dxa"/>
            <w:noWrap/>
            <w:hideMark/>
          </w:tcPr>
          <w:p w14:paraId="1D942ED4"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3.0</w:t>
            </w:r>
          </w:p>
        </w:tc>
        <w:tc>
          <w:tcPr>
            <w:tcW w:w="920" w:type="dxa"/>
            <w:noWrap/>
            <w:hideMark/>
          </w:tcPr>
          <w:p w14:paraId="58D53861"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3.1</w:t>
            </w:r>
          </w:p>
        </w:tc>
        <w:tc>
          <w:tcPr>
            <w:tcW w:w="713" w:type="dxa"/>
            <w:noWrap/>
            <w:hideMark/>
          </w:tcPr>
          <w:p w14:paraId="06E0D861"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3.0</w:t>
            </w:r>
          </w:p>
        </w:tc>
        <w:tc>
          <w:tcPr>
            <w:tcW w:w="1160" w:type="dxa"/>
            <w:noWrap/>
            <w:hideMark/>
          </w:tcPr>
          <w:p w14:paraId="7AD9AD5E"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11.3</w:t>
            </w:r>
          </w:p>
        </w:tc>
      </w:tr>
      <w:tr w:rsidR="00AE7D30" w:rsidRPr="00E43A20" w14:paraId="3FB0F371"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2255" w:type="dxa"/>
            <w:noWrap/>
            <w:hideMark/>
          </w:tcPr>
          <w:p w14:paraId="35C30246" w14:textId="77777777" w:rsidR="00AE7D30" w:rsidRPr="00E43A20" w:rsidRDefault="00AE7D30" w:rsidP="00E43A20">
            <w:pPr>
              <w:spacing w:line="276" w:lineRule="auto"/>
              <w:rPr>
                <w:rFonts w:eastAsia="Times New Roman" w:cs="Times New Roman"/>
                <w:i/>
                <w:iCs/>
                <w:color w:val="000000"/>
                <w:sz w:val="18"/>
                <w:szCs w:val="18"/>
              </w:rPr>
            </w:pPr>
            <w:r w:rsidRPr="00E43A20">
              <w:rPr>
                <w:rFonts w:eastAsia="Times New Roman" w:cs="Times New Roman"/>
                <w:i/>
                <w:iCs/>
                <w:color w:val="000000"/>
                <w:sz w:val="18"/>
                <w:szCs w:val="18"/>
              </w:rPr>
              <w:t>Allocated to:</w:t>
            </w:r>
          </w:p>
        </w:tc>
        <w:tc>
          <w:tcPr>
            <w:tcW w:w="719" w:type="dxa"/>
            <w:noWrap/>
            <w:hideMark/>
          </w:tcPr>
          <w:p w14:paraId="153B074E"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8"/>
                <w:szCs w:val="18"/>
              </w:rPr>
            </w:pPr>
          </w:p>
        </w:tc>
        <w:tc>
          <w:tcPr>
            <w:tcW w:w="751" w:type="dxa"/>
            <w:noWrap/>
            <w:hideMark/>
          </w:tcPr>
          <w:p w14:paraId="149406F1"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c>
          <w:tcPr>
            <w:tcW w:w="851" w:type="dxa"/>
            <w:noWrap/>
            <w:hideMark/>
          </w:tcPr>
          <w:p w14:paraId="0DDB0998"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c>
          <w:tcPr>
            <w:tcW w:w="920" w:type="dxa"/>
            <w:noWrap/>
            <w:hideMark/>
          </w:tcPr>
          <w:p w14:paraId="270BCEFB"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c>
          <w:tcPr>
            <w:tcW w:w="713" w:type="dxa"/>
            <w:noWrap/>
            <w:hideMark/>
          </w:tcPr>
          <w:p w14:paraId="0B1046F5"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c>
          <w:tcPr>
            <w:tcW w:w="1160" w:type="dxa"/>
            <w:noWrap/>
            <w:hideMark/>
          </w:tcPr>
          <w:p w14:paraId="0A7EDB55"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AE7D30" w:rsidRPr="00E43A20" w14:paraId="70A2B114"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5" w:type="dxa"/>
            <w:noWrap/>
            <w:hideMark/>
          </w:tcPr>
          <w:p w14:paraId="02780C4C" w14:textId="77777777" w:rsidR="00AE7D30" w:rsidRPr="00E43A20" w:rsidRDefault="00AE7D30" w:rsidP="00E43A20">
            <w:pPr>
              <w:spacing w:line="276" w:lineRule="auto"/>
              <w:rPr>
                <w:rFonts w:eastAsia="Times New Roman" w:cs="Times New Roman"/>
                <w:b/>
                <w:bCs w:val="0"/>
                <w:color w:val="000000"/>
                <w:sz w:val="18"/>
                <w:szCs w:val="18"/>
              </w:rPr>
            </w:pPr>
            <w:r w:rsidRPr="00E43A20">
              <w:rPr>
                <w:rFonts w:eastAsia="Times New Roman" w:cs="Times New Roman"/>
                <w:b/>
                <w:color w:val="000000"/>
                <w:sz w:val="18"/>
                <w:szCs w:val="18"/>
              </w:rPr>
              <w:t>Expenditure</w:t>
            </w:r>
          </w:p>
        </w:tc>
        <w:tc>
          <w:tcPr>
            <w:tcW w:w="719" w:type="dxa"/>
            <w:noWrap/>
            <w:hideMark/>
          </w:tcPr>
          <w:p w14:paraId="527C75B5"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0.67</w:t>
            </w:r>
          </w:p>
        </w:tc>
        <w:tc>
          <w:tcPr>
            <w:tcW w:w="751" w:type="dxa"/>
            <w:noWrap/>
            <w:hideMark/>
          </w:tcPr>
          <w:p w14:paraId="0BBC8025"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0.79</w:t>
            </w:r>
          </w:p>
        </w:tc>
        <w:tc>
          <w:tcPr>
            <w:tcW w:w="851" w:type="dxa"/>
            <w:noWrap/>
            <w:hideMark/>
          </w:tcPr>
          <w:p w14:paraId="598CB852"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1.38</w:t>
            </w:r>
          </w:p>
        </w:tc>
        <w:tc>
          <w:tcPr>
            <w:tcW w:w="920" w:type="dxa"/>
            <w:noWrap/>
            <w:hideMark/>
          </w:tcPr>
          <w:p w14:paraId="06881A6D"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1.48</w:t>
            </w:r>
          </w:p>
        </w:tc>
        <w:tc>
          <w:tcPr>
            <w:tcW w:w="713" w:type="dxa"/>
            <w:noWrap/>
            <w:hideMark/>
          </w:tcPr>
          <w:p w14:paraId="2E6A8C02"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1.44</w:t>
            </w:r>
          </w:p>
        </w:tc>
        <w:tc>
          <w:tcPr>
            <w:tcW w:w="1160" w:type="dxa"/>
            <w:noWrap/>
            <w:hideMark/>
          </w:tcPr>
          <w:p w14:paraId="4889FC59"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5.76</w:t>
            </w:r>
          </w:p>
        </w:tc>
      </w:tr>
      <w:tr w:rsidR="00AE7D30" w:rsidRPr="00E43A20" w14:paraId="36353288"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2255" w:type="dxa"/>
            <w:noWrap/>
            <w:hideMark/>
          </w:tcPr>
          <w:p w14:paraId="2C7048CC" w14:textId="77777777" w:rsidR="00AE7D30" w:rsidRPr="00E43A20" w:rsidRDefault="00AE7D30" w:rsidP="00E43A20">
            <w:pPr>
              <w:spacing w:line="276" w:lineRule="auto"/>
              <w:rPr>
                <w:rFonts w:eastAsia="Times New Roman" w:cs="Times New Roman"/>
                <w:i/>
                <w:iCs/>
                <w:color w:val="000000"/>
                <w:sz w:val="18"/>
                <w:szCs w:val="18"/>
              </w:rPr>
            </w:pPr>
            <w:r w:rsidRPr="00E43A20">
              <w:rPr>
                <w:rFonts w:eastAsia="Times New Roman" w:cs="Times New Roman"/>
                <w:i/>
                <w:iCs/>
                <w:color w:val="000000"/>
                <w:sz w:val="18"/>
                <w:szCs w:val="18"/>
              </w:rPr>
              <w:t xml:space="preserve">Current </w:t>
            </w:r>
          </w:p>
        </w:tc>
        <w:tc>
          <w:tcPr>
            <w:tcW w:w="719" w:type="dxa"/>
            <w:noWrap/>
            <w:hideMark/>
          </w:tcPr>
          <w:p w14:paraId="6AA58FC0"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0.61</w:t>
            </w:r>
          </w:p>
        </w:tc>
        <w:tc>
          <w:tcPr>
            <w:tcW w:w="751" w:type="dxa"/>
            <w:noWrap/>
            <w:hideMark/>
          </w:tcPr>
          <w:p w14:paraId="6C88AA30"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0.61</w:t>
            </w:r>
          </w:p>
        </w:tc>
        <w:tc>
          <w:tcPr>
            <w:tcW w:w="851" w:type="dxa"/>
            <w:noWrap/>
            <w:hideMark/>
          </w:tcPr>
          <w:p w14:paraId="51F5F3CA"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0.95</w:t>
            </w:r>
          </w:p>
        </w:tc>
        <w:tc>
          <w:tcPr>
            <w:tcW w:w="920" w:type="dxa"/>
            <w:noWrap/>
            <w:hideMark/>
          </w:tcPr>
          <w:p w14:paraId="63966C10"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1.02</w:t>
            </w:r>
          </w:p>
        </w:tc>
        <w:tc>
          <w:tcPr>
            <w:tcW w:w="713" w:type="dxa"/>
            <w:noWrap/>
            <w:hideMark/>
          </w:tcPr>
          <w:p w14:paraId="1CBCA04B"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0.98</w:t>
            </w:r>
          </w:p>
        </w:tc>
        <w:tc>
          <w:tcPr>
            <w:tcW w:w="1160" w:type="dxa"/>
            <w:noWrap/>
            <w:hideMark/>
          </w:tcPr>
          <w:p w14:paraId="0B5E281A"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4.17</w:t>
            </w:r>
          </w:p>
        </w:tc>
      </w:tr>
      <w:tr w:rsidR="00AE7D30" w:rsidRPr="00E43A20" w14:paraId="3C8E8B56"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5" w:type="dxa"/>
            <w:noWrap/>
            <w:hideMark/>
          </w:tcPr>
          <w:p w14:paraId="31E05104" w14:textId="77777777" w:rsidR="00AE7D30" w:rsidRPr="00E43A20" w:rsidRDefault="00AE7D30" w:rsidP="00E43A20">
            <w:pPr>
              <w:spacing w:line="276" w:lineRule="auto"/>
              <w:rPr>
                <w:rFonts w:eastAsia="Times New Roman" w:cs="Times New Roman"/>
                <w:i/>
                <w:iCs/>
                <w:color w:val="000000"/>
                <w:sz w:val="18"/>
                <w:szCs w:val="18"/>
              </w:rPr>
            </w:pPr>
            <w:r w:rsidRPr="00E43A20">
              <w:rPr>
                <w:rFonts w:eastAsia="Times New Roman" w:cs="Times New Roman"/>
                <w:i/>
                <w:iCs/>
                <w:color w:val="000000"/>
                <w:sz w:val="18"/>
                <w:szCs w:val="18"/>
              </w:rPr>
              <w:t>Capital</w:t>
            </w:r>
          </w:p>
        </w:tc>
        <w:tc>
          <w:tcPr>
            <w:tcW w:w="719" w:type="dxa"/>
            <w:noWrap/>
            <w:hideMark/>
          </w:tcPr>
          <w:p w14:paraId="0590D67B"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0.06</w:t>
            </w:r>
          </w:p>
        </w:tc>
        <w:tc>
          <w:tcPr>
            <w:tcW w:w="751" w:type="dxa"/>
            <w:noWrap/>
            <w:hideMark/>
          </w:tcPr>
          <w:p w14:paraId="2080DFDD"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0.19</w:t>
            </w:r>
          </w:p>
        </w:tc>
        <w:tc>
          <w:tcPr>
            <w:tcW w:w="851" w:type="dxa"/>
            <w:noWrap/>
            <w:hideMark/>
          </w:tcPr>
          <w:p w14:paraId="0B18D716"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0.43</w:t>
            </w:r>
          </w:p>
        </w:tc>
        <w:tc>
          <w:tcPr>
            <w:tcW w:w="920" w:type="dxa"/>
            <w:noWrap/>
            <w:hideMark/>
          </w:tcPr>
          <w:p w14:paraId="53002A80"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0.45</w:t>
            </w:r>
          </w:p>
        </w:tc>
        <w:tc>
          <w:tcPr>
            <w:tcW w:w="713" w:type="dxa"/>
            <w:noWrap/>
            <w:hideMark/>
          </w:tcPr>
          <w:p w14:paraId="486B6397"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0.46</w:t>
            </w:r>
          </w:p>
        </w:tc>
        <w:tc>
          <w:tcPr>
            <w:tcW w:w="1160" w:type="dxa"/>
            <w:noWrap/>
            <w:hideMark/>
          </w:tcPr>
          <w:p w14:paraId="5AD871B1"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18"/>
                <w:szCs w:val="18"/>
              </w:rPr>
            </w:pPr>
            <w:r w:rsidRPr="00E43A20">
              <w:rPr>
                <w:rFonts w:eastAsia="Times New Roman" w:cs="Times New Roman"/>
                <w:i/>
                <w:color w:val="000000"/>
                <w:sz w:val="18"/>
                <w:szCs w:val="18"/>
              </w:rPr>
              <w:t>1.59</w:t>
            </w:r>
          </w:p>
        </w:tc>
      </w:tr>
      <w:tr w:rsidR="00AE7D30" w:rsidRPr="00E43A20" w14:paraId="577588AA"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2255" w:type="dxa"/>
            <w:noWrap/>
            <w:hideMark/>
          </w:tcPr>
          <w:p w14:paraId="43843BA2" w14:textId="77777777" w:rsidR="00AE7D30" w:rsidRPr="00E43A20" w:rsidRDefault="00AE7D30" w:rsidP="00E43A20">
            <w:pPr>
              <w:spacing w:line="276" w:lineRule="auto"/>
              <w:rPr>
                <w:rFonts w:eastAsia="Times New Roman" w:cs="Times New Roman"/>
                <w:b/>
                <w:color w:val="000000"/>
                <w:sz w:val="18"/>
                <w:szCs w:val="18"/>
              </w:rPr>
            </w:pPr>
            <w:r w:rsidRPr="00E43A20">
              <w:rPr>
                <w:rFonts w:eastAsia="Times New Roman" w:cs="Times New Roman"/>
                <w:b/>
                <w:color w:val="000000"/>
                <w:sz w:val="18"/>
                <w:szCs w:val="18"/>
              </w:rPr>
              <w:t>Taxation</w:t>
            </w:r>
          </w:p>
        </w:tc>
        <w:tc>
          <w:tcPr>
            <w:tcW w:w="719" w:type="dxa"/>
            <w:noWrap/>
            <w:hideMark/>
          </w:tcPr>
          <w:p w14:paraId="42F08414"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0.33</w:t>
            </w:r>
          </w:p>
        </w:tc>
        <w:tc>
          <w:tcPr>
            <w:tcW w:w="751" w:type="dxa"/>
            <w:noWrap/>
            <w:hideMark/>
          </w:tcPr>
          <w:p w14:paraId="2007BF05"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0.39</w:t>
            </w:r>
          </w:p>
        </w:tc>
        <w:tc>
          <w:tcPr>
            <w:tcW w:w="851" w:type="dxa"/>
            <w:noWrap/>
            <w:hideMark/>
          </w:tcPr>
          <w:p w14:paraId="6437EECB"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0.59</w:t>
            </w:r>
          </w:p>
        </w:tc>
        <w:tc>
          <w:tcPr>
            <w:tcW w:w="920" w:type="dxa"/>
            <w:noWrap/>
            <w:hideMark/>
          </w:tcPr>
          <w:p w14:paraId="50D0C2A1"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0.62</w:t>
            </w:r>
          </w:p>
        </w:tc>
        <w:tc>
          <w:tcPr>
            <w:tcW w:w="713" w:type="dxa"/>
            <w:noWrap/>
            <w:hideMark/>
          </w:tcPr>
          <w:p w14:paraId="73C76F01"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0.61</w:t>
            </w:r>
          </w:p>
        </w:tc>
        <w:tc>
          <w:tcPr>
            <w:tcW w:w="1160" w:type="dxa"/>
            <w:noWrap/>
            <w:hideMark/>
          </w:tcPr>
          <w:p w14:paraId="44FA755F"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2.54</w:t>
            </w:r>
          </w:p>
        </w:tc>
      </w:tr>
      <w:tr w:rsidR="00AE7D30" w:rsidRPr="00E43A20" w14:paraId="03DFD387"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5" w:type="dxa"/>
            <w:noWrap/>
            <w:hideMark/>
          </w:tcPr>
          <w:p w14:paraId="5308C2B7" w14:textId="77777777" w:rsidR="00AE7D30" w:rsidRPr="00E43A20" w:rsidRDefault="00AE7D30" w:rsidP="00E43A20">
            <w:pPr>
              <w:spacing w:line="276" w:lineRule="auto"/>
              <w:rPr>
                <w:rFonts w:eastAsia="Times New Roman" w:cs="Times New Roman"/>
                <w:b/>
                <w:bCs w:val="0"/>
                <w:color w:val="000000"/>
                <w:sz w:val="18"/>
                <w:szCs w:val="18"/>
              </w:rPr>
            </w:pPr>
            <w:r w:rsidRPr="00E43A20">
              <w:rPr>
                <w:rFonts w:eastAsia="Times New Roman" w:cs="Times New Roman"/>
                <w:b/>
                <w:color w:val="000000"/>
                <w:sz w:val="18"/>
                <w:szCs w:val="18"/>
              </w:rPr>
              <w:t>Rainy Day Fund</w:t>
            </w:r>
          </w:p>
        </w:tc>
        <w:tc>
          <w:tcPr>
            <w:tcW w:w="719" w:type="dxa"/>
            <w:noWrap/>
            <w:hideMark/>
          </w:tcPr>
          <w:p w14:paraId="1222C1F9"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0.00</w:t>
            </w:r>
          </w:p>
        </w:tc>
        <w:tc>
          <w:tcPr>
            <w:tcW w:w="751" w:type="dxa"/>
            <w:noWrap/>
            <w:hideMark/>
          </w:tcPr>
          <w:p w14:paraId="5A78189D"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0.00</w:t>
            </w:r>
          </w:p>
        </w:tc>
        <w:tc>
          <w:tcPr>
            <w:tcW w:w="851" w:type="dxa"/>
            <w:noWrap/>
            <w:hideMark/>
          </w:tcPr>
          <w:p w14:paraId="4C5530DA"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1.00</w:t>
            </w:r>
          </w:p>
        </w:tc>
        <w:tc>
          <w:tcPr>
            <w:tcW w:w="920" w:type="dxa"/>
            <w:noWrap/>
            <w:hideMark/>
          </w:tcPr>
          <w:p w14:paraId="7B3FF1A9"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1.00</w:t>
            </w:r>
          </w:p>
        </w:tc>
        <w:tc>
          <w:tcPr>
            <w:tcW w:w="713" w:type="dxa"/>
            <w:noWrap/>
            <w:hideMark/>
          </w:tcPr>
          <w:p w14:paraId="5F26D1C2"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1.00</w:t>
            </w:r>
          </w:p>
        </w:tc>
        <w:tc>
          <w:tcPr>
            <w:tcW w:w="1160" w:type="dxa"/>
            <w:noWrap/>
            <w:hideMark/>
          </w:tcPr>
          <w:p w14:paraId="6F49F8EF" w14:textId="77777777" w:rsidR="00AE7D30" w:rsidRPr="00E43A20" w:rsidRDefault="00AE7D30" w:rsidP="00E43A2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3.00</w:t>
            </w:r>
          </w:p>
        </w:tc>
      </w:tr>
      <w:tr w:rsidR="00AE7D30" w:rsidRPr="00E43A20" w14:paraId="56C399D9"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2255" w:type="dxa"/>
            <w:noWrap/>
            <w:hideMark/>
          </w:tcPr>
          <w:p w14:paraId="3CC28855" w14:textId="77777777" w:rsidR="00AE7D30" w:rsidRPr="00E43A20" w:rsidRDefault="00AE7D30" w:rsidP="00E43A20">
            <w:pPr>
              <w:spacing w:line="276" w:lineRule="auto"/>
              <w:rPr>
                <w:rFonts w:eastAsia="Times New Roman" w:cs="Times New Roman"/>
                <w:color w:val="000000"/>
                <w:sz w:val="18"/>
                <w:szCs w:val="18"/>
              </w:rPr>
            </w:pPr>
            <w:r w:rsidRPr="00E43A20">
              <w:rPr>
                <w:rFonts w:eastAsia="Times New Roman" w:cs="Times New Roman"/>
                <w:color w:val="000000"/>
                <w:sz w:val="18"/>
                <w:szCs w:val="18"/>
              </w:rPr>
              <w:t>Total Additional Capital</w:t>
            </w:r>
            <w:r w:rsidRPr="00E43A20">
              <w:rPr>
                <w:rStyle w:val="FootnoteReference"/>
                <w:rFonts w:eastAsia="Times New Roman" w:cs="Times New Roman"/>
                <w:color w:val="000000"/>
                <w:sz w:val="18"/>
                <w:szCs w:val="18"/>
              </w:rPr>
              <w:footnoteReference w:id="68"/>
            </w:r>
          </w:p>
        </w:tc>
        <w:tc>
          <w:tcPr>
            <w:tcW w:w="719" w:type="dxa"/>
            <w:noWrap/>
            <w:hideMark/>
          </w:tcPr>
          <w:p w14:paraId="0DF4F7C1"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0.25</w:t>
            </w:r>
          </w:p>
        </w:tc>
        <w:tc>
          <w:tcPr>
            <w:tcW w:w="751" w:type="dxa"/>
            <w:noWrap/>
            <w:hideMark/>
          </w:tcPr>
          <w:p w14:paraId="09D1568C"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0.75</w:t>
            </w:r>
          </w:p>
        </w:tc>
        <w:tc>
          <w:tcPr>
            <w:tcW w:w="851" w:type="dxa"/>
            <w:noWrap/>
            <w:hideMark/>
          </w:tcPr>
          <w:p w14:paraId="3EF1EB83"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1.18</w:t>
            </w:r>
          </w:p>
        </w:tc>
        <w:tc>
          <w:tcPr>
            <w:tcW w:w="920" w:type="dxa"/>
            <w:noWrap/>
            <w:hideMark/>
          </w:tcPr>
          <w:p w14:paraId="61E4D256"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1.38</w:t>
            </w:r>
          </w:p>
        </w:tc>
        <w:tc>
          <w:tcPr>
            <w:tcW w:w="713" w:type="dxa"/>
            <w:noWrap/>
            <w:hideMark/>
          </w:tcPr>
          <w:p w14:paraId="22660D9A"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1.59</w:t>
            </w:r>
          </w:p>
        </w:tc>
        <w:tc>
          <w:tcPr>
            <w:tcW w:w="1160" w:type="dxa"/>
            <w:noWrap/>
            <w:hideMark/>
          </w:tcPr>
          <w:p w14:paraId="4024970D" w14:textId="77777777" w:rsidR="00AE7D30" w:rsidRPr="00E43A20" w:rsidRDefault="00AE7D30" w:rsidP="00E43A20">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E43A20">
              <w:rPr>
                <w:rFonts w:eastAsia="Times New Roman" w:cs="Times New Roman"/>
                <w:color w:val="000000"/>
                <w:sz w:val="18"/>
                <w:szCs w:val="18"/>
              </w:rPr>
              <w:t>5.14</w:t>
            </w:r>
          </w:p>
        </w:tc>
      </w:tr>
    </w:tbl>
    <w:p w14:paraId="28F208A7" w14:textId="76E6EDFC" w:rsidR="00AE7D30" w:rsidRPr="00E43A20" w:rsidRDefault="00AE7D30" w:rsidP="00AE7D30">
      <w:pPr>
        <w:autoSpaceDE w:val="0"/>
        <w:autoSpaceDN w:val="0"/>
        <w:adjustRightInd w:val="0"/>
        <w:spacing w:line="276" w:lineRule="auto"/>
        <w:rPr>
          <w:sz w:val="18"/>
          <w:szCs w:val="18"/>
        </w:rPr>
      </w:pPr>
      <w:r w:rsidRPr="00E43A20">
        <w:rPr>
          <w:rFonts w:cs="HelveticaNeue-Light"/>
          <w:sz w:val="18"/>
          <w:szCs w:val="18"/>
        </w:rPr>
        <w:t xml:space="preserve">Source: </w:t>
      </w:r>
      <w:r w:rsidRPr="00E43A20">
        <w:rPr>
          <w:sz w:val="18"/>
          <w:szCs w:val="18"/>
        </w:rPr>
        <w:t>Summer Economic Statement</w:t>
      </w:r>
      <w:r w:rsidR="00EE07B5">
        <w:rPr>
          <w:sz w:val="18"/>
          <w:szCs w:val="18"/>
        </w:rPr>
        <w:t>.</w:t>
      </w:r>
      <w:r w:rsidRPr="00E43A20">
        <w:rPr>
          <w:rStyle w:val="FootnoteReference"/>
          <w:sz w:val="18"/>
          <w:szCs w:val="18"/>
        </w:rPr>
        <w:footnoteReference w:id="69"/>
      </w:r>
    </w:p>
    <w:p w14:paraId="6842BAF1" w14:textId="77777777" w:rsidR="00AE7D30" w:rsidRPr="00346DCA" w:rsidRDefault="00AE7D30" w:rsidP="006E0F31">
      <w:pPr>
        <w:autoSpaceDE w:val="0"/>
        <w:autoSpaceDN w:val="0"/>
        <w:adjustRightInd w:val="0"/>
        <w:rPr>
          <w:rFonts w:cs="HelveticaNeue-Light"/>
        </w:rPr>
      </w:pPr>
    </w:p>
    <w:p w14:paraId="630AAC4E" w14:textId="4CEB4552" w:rsidR="00AE7D30" w:rsidRPr="00E43A20" w:rsidRDefault="00AE7D30" w:rsidP="006E0F31">
      <w:pPr>
        <w:pStyle w:val="Default"/>
        <w:spacing w:line="280" w:lineRule="atLeast"/>
        <w:jc w:val="both"/>
        <w:rPr>
          <w:rFonts w:asciiTheme="minorHAnsi" w:hAnsiTheme="minorHAnsi"/>
          <w:sz w:val="20"/>
          <w:szCs w:val="20"/>
        </w:rPr>
      </w:pPr>
      <w:r w:rsidRPr="00E43A20">
        <w:rPr>
          <w:rFonts w:asciiTheme="minorHAnsi" w:hAnsiTheme="minorHAnsi" w:cs="HelveticaNeue-Light"/>
          <w:sz w:val="20"/>
          <w:szCs w:val="20"/>
        </w:rPr>
        <w:t xml:space="preserve">Within the fiscal space rules, </w:t>
      </w:r>
      <w:r w:rsidRPr="00E43A20">
        <w:rPr>
          <w:rFonts w:asciiTheme="minorHAnsi" w:hAnsiTheme="minorHAnsi"/>
          <w:sz w:val="20"/>
          <w:szCs w:val="20"/>
        </w:rPr>
        <w:t xml:space="preserve">public capital investment may </w:t>
      </w:r>
      <w:r w:rsidR="00430C0B">
        <w:rPr>
          <w:rFonts w:asciiTheme="minorHAnsi" w:hAnsiTheme="minorHAnsi"/>
          <w:sz w:val="20"/>
          <w:szCs w:val="20"/>
        </w:rPr>
        <w:t xml:space="preserve">be </w:t>
      </w:r>
      <w:r w:rsidRPr="00E43A20">
        <w:rPr>
          <w:rFonts w:asciiTheme="minorHAnsi" w:hAnsiTheme="minorHAnsi"/>
          <w:sz w:val="20"/>
          <w:szCs w:val="20"/>
        </w:rPr>
        <w:t>average</w:t>
      </w:r>
      <w:r w:rsidR="00430C0B">
        <w:rPr>
          <w:rFonts w:asciiTheme="minorHAnsi" w:hAnsiTheme="minorHAnsi"/>
          <w:sz w:val="20"/>
          <w:szCs w:val="20"/>
        </w:rPr>
        <w:t>d</w:t>
      </w:r>
      <w:r w:rsidRPr="00E43A20">
        <w:rPr>
          <w:rFonts w:asciiTheme="minorHAnsi" w:hAnsiTheme="minorHAnsi"/>
          <w:sz w:val="20"/>
          <w:szCs w:val="20"/>
        </w:rPr>
        <w:t xml:space="preserve"> out over a four year period:  this ‘smoothing’ process is implemented to encourage public investment and to avoid penalising Member States for spikes in capital expenditure.  </w:t>
      </w:r>
    </w:p>
    <w:p w14:paraId="2B8116BC" w14:textId="77777777" w:rsidR="00AE7D30" w:rsidRPr="00E43A20" w:rsidRDefault="00AE7D30" w:rsidP="006E0F31">
      <w:pPr>
        <w:pStyle w:val="Default"/>
        <w:spacing w:line="280" w:lineRule="atLeast"/>
        <w:jc w:val="both"/>
        <w:rPr>
          <w:rFonts w:asciiTheme="minorHAnsi" w:hAnsiTheme="minorHAnsi"/>
          <w:sz w:val="20"/>
          <w:szCs w:val="20"/>
        </w:rPr>
      </w:pPr>
    </w:p>
    <w:p w14:paraId="12520171" w14:textId="176DE0A8" w:rsidR="00AE7D30" w:rsidRPr="00E43A20" w:rsidRDefault="00AE7D30" w:rsidP="006E0F31">
      <w:pPr>
        <w:autoSpaceDE w:val="0"/>
        <w:autoSpaceDN w:val="0"/>
        <w:adjustRightInd w:val="0"/>
        <w:rPr>
          <w:sz w:val="20"/>
          <w:szCs w:val="20"/>
        </w:rPr>
      </w:pPr>
      <w:r w:rsidRPr="00E43A20">
        <w:rPr>
          <w:sz w:val="20"/>
          <w:szCs w:val="20"/>
        </w:rPr>
        <w:t xml:space="preserve">So, for instance, if a Member State wishes to invest €1 billion in year t, this would ordinarily reduce the available Fiscal Space in year t by €1 billion.  However, under the rules </w:t>
      </w:r>
      <w:r w:rsidR="00430C0B">
        <w:rPr>
          <w:sz w:val="20"/>
          <w:szCs w:val="20"/>
        </w:rPr>
        <w:t>(see Appendix 4)</w:t>
      </w:r>
      <w:r w:rsidRPr="00E43A20">
        <w:rPr>
          <w:sz w:val="20"/>
          <w:szCs w:val="20"/>
        </w:rPr>
        <w:t xml:space="preserve">, this €1 billion investment is accounted for in four separate €250 million instalments across years t, t+1, t+2 and t+3.  By implementing this approach, the Member State’s available </w:t>
      </w:r>
      <w:r w:rsidR="00430C0B">
        <w:rPr>
          <w:sz w:val="20"/>
          <w:szCs w:val="20"/>
        </w:rPr>
        <w:t>f</w:t>
      </w:r>
      <w:r w:rsidRPr="00E43A20">
        <w:rPr>
          <w:sz w:val="20"/>
          <w:szCs w:val="20"/>
        </w:rPr>
        <w:t xml:space="preserve">iscal </w:t>
      </w:r>
      <w:r w:rsidR="00430C0B">
        <w:rPr>
          <w:sz w:val="20"/>
          <w:szCs w:val="20"/>
        </w:rPr>
        <w:t>s</w:t>
      </w:r>
      <w:r w:rsidRPr="00E43A20">
        <w:rPr>
          <w:sz w:val="20"/>
          <w:szCs w:val="20"/>
        </w:rPr>
        <w:t xml:space="preserve">pace for year t will be larger (by €750 million), thus allowing greater flexibility for the Member State to pursue other expansionary fiscal policies. The €1 billion is still accounted for, but its impact on </w:t>
      </w:r>
      <w:r w:rsidR="00430C0B">
        <w:rPr>
          <w:sz w:val="20"/>
          <w:szCs w:val="20"/>
        </w:rPr>
        <w:t>f</w:t>
      </w:r>
      <w:r w:rsidRPr="00E43A20">
        <w:rPr>
          <w:sz w:val="20"/>
          <w:szCs w:val="20"/>
        </w:rPr>
        <w:t xml:space="preserve">iscal </w:t>
      </w:r>
      <w:r w:rsidR="00430C0B">
        <w:rPr>
          <w:sz w:val="20"/>
          <w:szCs w:val="20"/>
        </w:rPr>
        <w:t>s</w:t>
      </w:r>
      <w:r w:rsidRPr="00E43A20">
        <w:rPr>
          <w:sz w:val="20"/>
          <w:szCs w:val="20"/>
        </w:rPr>
        <w:t xml:space="preserve">pace is spread across a longer time period. Hence in Table </w:t>
      </w:r>
      <w:r w:rsidR="00EE07B5">
        <w:rPr>
          <w:sz w:val="20"/>
          <w:szCs w:val="20"/>
        </w:rPr>
        <w:t>3.</w:t>
      </w:r>
      <w:r w:rsidR="007D0C5C">
        <w:rPr>
          <w:sz w:val="20"/>
          <w:szCs w:val="20"/>
        </w:rPr>
        <w:t>8</w:t>
      </w:r>
      <w:r w:rsidRPr="00E43A20">
        <w:rPr>
          <w:sz w:val="20"/>
          <w:szCs w:val="20"/>
        </w:rPr>
        <w:t xml:space="preserve"> above, the quantum of fiscal space allocated to capital expenditure in 2017 and 2018 is not fully reflective of the actual level of capital expenditure in these years. </w:t>
      </w:r>
    </w:p>
    <w:p w14:paraId="6F0E090A" w14:textId="77777777" w:rsidR="00AE7D30" w:rsidRPr="00E43A20" w:rsidRDefault="00AE7D30" w:rsidP="006E0F31">
      <w:pPr>
        <w:autoSpaceDE w:val="0"/>
        <w:autoSpaceDN w:val="0"/>
        <w:adjustRightInd w:val="0"/>
        <w:rPr>
          <w:sz w:val="20"/>
          <w:szCs w:val="20"/>
        </w:rPr>
      </w:pPr>
    </w:p>
    <w:p w14:paraId="087DBF4B" w14:textId="2C0EFED8" w:rsidR="00AE7D30" w:rsidRPr="00E43A20" w:rsidRDefault="00AE7D30" w:rsidP="006E0F31">
      <w:pPr>
        <w:autoSpaceDE w:val="0"/>
        <w:autoSpaceDN w:val="0"/>
        <w:adjustRightInd w:val="0"/>
        <w:rPr>
          <w:rFonts w:cs="HelveticaNeue-Light"/>
          <w:sz w:val="20"/>
          <w:szCs w:val="20"/>
        </w:rPr>
      </w:pPr>
      <w:r w:rsidRPr="00E43A20">
        <w:rPr>
          <w:sz w:val="20"/>
          <w:szCs w:val="20"/>
        </w:rPr>
        <w:t>Whilst the smoothing of capital expenditure supports governments wishing to invest in infrastructure, the measure differs from the approach used by corporations</w:t>
      </w:r>
      <w:r w:rsidRPr="00E43A20">
        <w:rPr>
          <w:rFonts w:cs="HelveticaNeue-Light"/>
          <w:sz w:val="20"/>
          <w:szCs w:val="20"/>
        </w:rPr>
        <w:t>, whereby the costs of investments are amortised over the lifetime of the investment. This ensures that costs are not frontloaded but are instead distributed over the years of use. Such an approach to national accounting and capital investment would provide more leeway for governments. However, as the anticipated lifetime of a State-backed investment is more unclear than the anticipated lifetime of a corporate investment</w:t>
      </w:r>
      <w:r w:rsidR="00EE07B5">
        <w:rPr>
          <w:rFonts w:cs="HelveticaNeue-Light"/>
          <w:sz w:val="20"/>
          <w:szCs w:val="20"/>
        </w:rPr>
        <w:t>,</w:t>
      </w:r>
      <w:r w:rsidRPr="00E43A20">
        <w:rPr>
          <w:rFonts w:cs="HelveticaNeue-Light"/>
          <w:sz w:val="20"/>
          <w:szCs w:val="20"/>
        </w:rPr>
        <w:t xml:space="preserve"> determining how to amortise presents challenges. </w:t>
      </w:r>
    </w:p>
    <w:p w14:paraId="5B20610F" w14:textId="77777777" w:rsidR="00AE7D30" w:rsidRPr="00E43A20" w:rsidRDefault="00AE7D30" w:rsidP="006E0F31">
      <w:pPr>
        <w:autoSpaceDE w:val="0"/>
        <w:autoSpaceDN w:val="0"/>
        <w:adjustRightInd w:val="0"/>
        <w:rPr>
          <w:rFonts w:cs="HelveticaNeue-Light"/>
          <w:sz w:val="20"/>
          <w:szCs w:val="20"/>
        </w:rPr>
      </w:pPr>
    </w:p>
    <w:p w14:paraId="04385ADD" w14:textId="3F005C46" w:rsidR="00AE7D30" w:rsidRPr="00E43A20" w:rsidRDefault="00AE7D30" w:rsidP="006E0F31">
      <w:pPr>
        <w:autoSpaceDE w:val="0"/>
        <w:autoSpaceDN w:val="0"/>
        <w:adjustRightInd w:val="0"/>
        <w:rPr>
          <w:rFonts w:cs="HelveticaNeue-Light"/>
          <w:sz w:val="20"/>
          <w:szCs w:val="20"/>
        </w:rPr>
      </w:pPr>
      <w:r w:rsidRPr="00E43A20">
        <w:rPr>
          <w:rFonts w:cs="HelveticaNeue-Light"/>
          <w:sz w:val="20"/>
          <w:szCs w:val="20"/>
        </w:rPr>
        <w:t xml:space="preserve">The quantum of </w:t>
      </w:r>
      <w:r w:rsidR="00430C0B">
        <w:rPr>
          <w:rFonts w:cs="HelveticaNeue-Light"/>
          <w:sz w:val="20"/>
          <w:szCs w:val="20"/>
        </w:rPr>
        <w:t>f</w:t>
      </w:r>
      <w:r w:rsidRPr="00E43A20">
        <w:rPr>
          <w:rFonts w:cs="HelveticaNeue-Light"/>
          <w:sz w:val="20"/>
          <w:szCs w:val="20"/>
        </w:rPr>
        <w:t xml:space="preserve">iscal </w:t>
      </w:r>
      <w:r w:rsidR="00430C0B">
        <w:rPr>
          <w:rFonts w:cs="HelveticaNeue-Light"/>
          <w:sz w:val="20"/>
          <w:szCs w:val="20"/>
        </w:rPr>
        <w:t>s</w:t>
      </w:r>
      <w:r w:rsidRPr="00E43A20">
        <w:rPr>
          <w:rFonts w:cs="HelveticaNeue-Light"/>
          <w:sz w:val="20"/>
          <w:szCs w:val="20"/>
        </w:rPr>
        <w:t xml:space="preserve">pace available to the Government is </w:t>
      </w:r>
      <w:r w:rsidR="00EE07B5">
        <w:rPr>
          <w:rFonts w:cs="HelveticaNeue-Light"/>
          <w:sz w:val="20"/>
          <w:szCs w:val="20"/>
        </w:rPr>
        <w:t>determined using</w:t>
      </w:r>
      <w:r w:rsidRPr="00E43A20">
        <w:rPr>
          <w:rFonts w:cs="HelveticaNeue-Light"/>
          <w:sz w:val="20"/>
          <w:szCs w:val="20"/>
        </w:rPr>
        <w:t xml:space="preserve"> the methodology set out by the European Commission for calculating fiscal space across the EU. In determining the allowable rate of growth in expenditure, the Commission assesses whether or not the economy is overheating. Based on the methodology applied, the Commission conjectures that </w:t>
      </w:r>
      <w:r w:rsidR="00EE07B5">
        <w:rPr>
          <w:rFonts w:cs="HelveticaNeue-Light"/>
          <w:sz w:val="20"/>
          <w:szCs w:val="20"/>
        </w:rPr>
        <w:t xml:space="preserve">the </w:t>
      </w:r>
      <w:r w:rsidRPr="00E43A20">
        <w:rPr>
          <w:rFonts w:cs="HelveticaNeue-Light"/>
          <w:sz w:val="20"/>
          <w:szCs w:val="20"/>
        </w:rPr>
        <w:t xml:space="preserve">economy is close to its potential output and hence expenditure growth needs to be restricted. </w:t>
      </w:r>
    </w:p>
    <w:p w14:paraId="01027EAC" w14:textId="77777777" w:rsidR="00AE7D30" w:rsidRPr="00E43A20" w:rsidRDefault="00AE7D30" w:rsidP="006E0F31">
      <w:pPr>
        <w:autoSpaceDE w:val="0"/>
        <w:autoSpaceDN w:val="0"/>
        <w:adjustRightInd w:val="0"/>
        <w:rPr>
          <w:rFonts w:cs="HelveticaNeue-Light"/>
          <w:sz w:val="20"/>
          <w:szCs w:val="20"/>
        </w:rPr>
      </w:pPr>
    </w:p>
    <w:p w14:paraId="57C22A4E" w14:textId="40A61C8D" w:rsidR="00AE7D30" w:rsidRPr="00E43A20" w:rsidRDefault="00AE7D30" w:rsidP="00E43A20">
      <w:pPr>
        <w:autoSpaceDE w:val="0"/>
        <w:autoSpaceDN w:val="0"/>
        <w:adjustRightInd w:val="0"/>
        <w:rPr>
          <w:rFonts w:cs="HelveticaNeue-Light"/>
          <w:sz w:val="20"/>
          <w:szCs w:val="20"/>
        </w:rPr>
      </w:pPr>
      <w:r w:rsidRPr="00E43A20">
        <w:rPr>
          <w:rFonts w:cs="HelveticaNeue-Light"/>
          <w:sz w:val="20"/>
          <w:szCs w:val="20"/>
        </w:rPr>
        <w:t>The methodology relies on structural unemployment estimates, which point to an unemployment floor, and which are influenced by recent unemployment rates. Tom McDonnell of NERI noted during his attendance before this Committee in September 2016 that this calculation is flawed, as it relies too heavily on recent unemployment data.</w:t>
      </w:r>
      <w:r w:rsidRPr="00E43A20">
        <w:rPr>
          <w:rStyle w:val="FootnoteReference"/>
          <w:rFonts w:cs="HelveticaNeue-Light"/>
          <w:sz w:val="20"/>
          <w:szCs w:val="20"/>
        </w:rPr>
        <w:footnoteReference w:id="70"/>
      </w:r>
      <w:r w:rsidRPr="00E43A20">
        <w:rPr>
          <w:rFonts w:cs="HelveticaNeue-Light"/>
          <w:sz w:val="20"/>
          <w:szCs w:val="20"/>
        </w:rPr>
        <w:t xml:space="preserve"> Because Ireland experienced high unemployment rates in the past decade, the structural unemployment rate is relatively high when compared to the pre-crisis rate. This suggests that the output gap is positive and hence implies the economy is overheating. If the methodology took into account Ireland’s full employment in the pre-crisis period, the economy might not be viewed as close to its </w:t>
      </w:r>
      <w:r w:rsidR="007D0C5C">
        <w:rPr>
          <w:rFonts w:cs="HelveticaNeue-Light"/>
          <w:sz w:val="20"/>
          <w:szCs w:val="20"/>
        </w:rPr>
        <w:t>potential</w:t>
      </w:r>
      <w:r w:rsidR="00EE07B5">
        <w:rPr>
          <w:rFonts w:cs="HelveticaNeue-Light"/>
          <w:sz w:val="20"/>
          <w:szCs w:val="20"/>
        </w:rPr>
        <w:t xml:space="preserve"> </w:t>
      </w:r>
      <w:r w:rsidRPr="00E43A20">
        <w:rPr>
          <w:rFonts w:cs="HelveticaNeue-Light"/>
          <w:sz w:val="20"/>
          <w:szCs w:val="20"/>
        </w:rPr>
        <w:t xml:space="preserve">output.  </w:t>
      </w:r>
    </w:p>
    <w:p w14:paraId="4EDDD76A" w14:textId="77777777" w:rsidR="00AE7D30" w:rsidRPr="00E43A20" w:rsidRDefault="00AE7D30" w:rsidP="00E43A20">
      <w:pPr>
        <w:autoSpaceDE w:val="0"/>
        <w:autoSpaceDN w:val="0"/>
        <w:adjustRightInd w:val="0"/>
        <w:rPr>
          <w:rFonts w:cs="HelveticaNeue-Light"/>
          <w:sz w:val="20"/>
          <w:szCs w:val="20"/>
        </w:rPr>
      </w:pPr>
    </w:p>
    <w:p w14:paraId="5743ED04" w14:textId="3F57C7C2" w:rsidR="00AE7D30" w:rsidRPr="00E43A20" w:rsidRDefault="00AE7D30" w:rsidP="00E43A20">
      <w:pPr>
        <w:autoSpaceDE w:val="0"/>
        <w:autoSpaceDN w:val="0"/>
        <w:adjustRightInd w:val="0"/>
        <w:rPr>
          <w:rFonts w:cs="HelveticaNeue-Light"/>
          <w:sz w:val="20"/>
          <w:szCs w:val="20"/>
        </w:rPr>
      </w:pPr>
      <w:r w:rsidRPr="00E43A20">
        <w:rPr>
          <w:rFonts w:cs="HelveticaNeue-Light"/>
          <w:sz w:val="20"/>
          <w:szCs w:val="20"/>
        </w:rPr>
        <w:t xml:space="preserve">The Committee on Budgetary Oversight could encourage the Government to bring the flaws in the methodology for calculating Fiscal Space to the Commission’s attention. In addition, although the fiscal rules constrain investment, this should not preclude </w:t>
      </w:r>
      <w:r w:rsidRPr="00E43A20">
        <w:rPr>
          <w:rFonts w:cs="Myriad Pro"/>
          <w:color w:val="000000"/>
          <w:sz w:val="20"/>
          <w:szCs w:val="20"/>
        </w:rPr>
        <w:t>engagement between i</w:t>
      </w:r>
      <w:r w:rsidRPr="00E43A20">
        <w:rPr>
          <w:rStyle w:val="A7"/>
          <w:sz w:val="20"/>
          <w:szCs w:val="20"/>
        </w:rPr>
        <w:t>ndustry and Government to identify and resolve non-financial barriers that act as constraints on infrastructure development.</w:t>
      </w:r>
      <w:r w:rsidRPr="00E43A20">
        <w:rPr>
          <w:rStyle w:val="FootnoteReference"/>
          <w:rFonts w:cs="Myriad Pro"/>
          <w:color w:val="000000"/>
          <w:sz w:val="20"/>
          <w:szCs w:val="20"/>
        </w:rPr>
        <w:t xml:space="preserve"> </w:t>
      </w:r>
    </w:p>
    <w:p w14:paraId="63E8A82A" w14:textId="3D2C85BA" w:rsidR="00AE7D30" w:rsidRPr="007D0C5C" w:rsidRDefault="00AE7D30" w:rsidP="00AE7D30">
      <w:pPr>
        <w:pStyle w:val="DKM2"/>
        <w:spacing w:line="276" w:lineRule="auto"/>
        <w:rPr>
          <w:rFonts w:asciiTheme="minorHAnsi" w:hAnsiTheme="minorHAnsi"/>
          <w:sz w:val="22"/>
          <w:szCs w:val="22"/>
        </w:rPr>
      </w:pPr>
      <w:bookmarkStart w:id="41" w:name="_Toc476216234"/>
      <w:bookmarkStart w:id="42" w:name="_Toc478116696"/>
      <w:r w:rsidRPr="007D0C5C">
        <w:rPr>
          <w:rFonts w:asciiTheme="minorHAnsi" w:hAnsiTheme="minorHAnsi"/>
          <w:sz w:val="22"/>
          <w:szCs w:val="22"/>
        </w:rPr>
        <w:t>Flexibility in the Fiscal Rules</w:t>
      </w:r>
      <w:bookmarkEnd w:id="41"/>
      <w:bookmarkEnd w:id="42"/>
    </w:p>
    <w:p w14:paraId="6F883ACE" w14:textId="7A968C93" w:rsidR="00AE7D30" w:rsidRDefault="00AE7D30" w:rsidP="00E43A20">
      <w:pPr>
        <w:autoSpaceDE w:val="0"/>
        <w:autoSpaceDN w:val="0"/>
        <w:adjustRightInd w:val="0"/>
        <w:rPr>
          <w:rFonts w:cs="HelveticaNeue-Light"/>
          <w:sz w:val="20"/>
          <w:szCs w:val="20"/>
        </w:rPr>
      </w:pPr>
      <w:r w:rsidRPr="00E43A20">
        <w:rPr>
          <w:rFonts w:cs="HelveticaNeue-Light"/>
          <w:sz w:val="20"/>
          <w:szCs w:val="20"/>
        </w:rPr>
        <w:t xml:space="preserve">The fiscal rules make no differentiation between capital expenditure and current expenditure with regard to their impact on </w:t>
      </w:r>
      <w:r w:rsidR="00EE07B5">
        <w:rPr>
          <w:rFonts w:cs="HelveticaNeue-Light"/>
          <w:sz w:val="20"/>
          <w:szCs w:val="20"/>
        </w:rPr>
        <w:t xml:space="preserve">the </w:t>
      </w:r>
      <w:r w:rsidRPr="00E43A20">
        <w:rPr>
          <w:rFonts w:cs="HelveticaNeue-Light"/>
          <w:sz w:val="20"/>
          <w:szCs w:val="20"/>
        </w:rPr>
        <w:t xml:space="preserve">budget deficit: each euro spent on capital and current expenditure is treated equally. The </w:t>
      </w:r>
      <w:r w:rsidRPr="008043C7">
        <w:rPr>
          <w:rFonts w:cs="HelveticaNeue-Light"/>
          <w:b/>
          <w:sz w:val="20"/>
          <w:szCs w:val="20"/>
        </w:rPr>
        <w:t>‘Golden Rule’</w:t>
      </w:r>
      <w:r w:rsidRPr="00E43A20">
        <w:rPr>
          <w:rFonts w:cs="HelveticaNeue-Light"/>
          <w:sz w:val="20"/>
          <w:szCs w:val="20"/>
        </w:rPr>
        <w:t xml:space="preserve"> is a fiscal principle according to which deficits are allowed if they have been driven by capital investment. Under this approach, current expenditure should match normal revenue and capital expenditure would be isolated from consideration with respect to the deficit. The Rule would therefore provide </w:t>
      </w:r>
      <w:r w:rsidR="00EE07B5">
        <w:rPr>
          <w:rFonts w:cs="HelveticaNeue-Light"/>
          <w:sz w:val="20"/>
          <w:szCs w:val="20"/>
        </w:rPr>
        <w:t xml:space="preserve">member </w:t>
      </w:r>
      <w:r w:rsidRPr="00E43A20">
        <w:rPr>
          <w:rFonts w:cs="HelveticaNeue-Light"/>
          <w:sz w:val="20"/>
          <w:szCs w:val="20"/>
        </w:rPr>
        <w:t xml:space="preserve">states with greater leeway to borrow for investment. One drawback, however, could be </w:t>
      </w:r>
      <w:r w:rsidR="00EE07B5">
        <w:rPr>
          <w:rFonts w:cs="HelveticaNeue-Light"/>
          <w:sz w:val="20"/>
          <w:szCs w:val="20"/>
        </w:rPr>
        <w:t xml:space="preserve">that </w:t>
      </w:r>
      <w:r w:rsidRPr="00E43A20">
        <w:rPr>
          <w:rFonts w:cs="HelveticaNeue-Light"/>
          <w:sz w:val="20"/>
          <w:szCs w:val="20"/>
        </w:rPr>
        <w:t xml:space="preserve">such a measure might incentivise new investment over maintenance and could result in a preference for fixed assets over intangibles: physical capital (schools) would be prioritised over human capital (ongoing training of teachers). This could result in a country becoming infrastructure rich but skills poor. Applied sensibly, the Rule could result in leeway for countries such as Ireland. As it stands, the principle has no basis in European rules. </w:t>
      </w:r>
    </w:p>
    <w:p w14:paraId="734E872D" w14:textId="77777777" w:rsidR="00963EC9" w:rsidRPr="00E43A20" w:rsidRDefault="00963EC9" w:rsidP="00E43A20">
      <w:pPr>
        <w:autoSpaceDE w:val="0"/>
        <w:autoSpaceDN w:val="0"/>
        <w:adjustRightInd w:val="0"/>
        <w:rPr>
          <w:rFonts w:cs="HelveticaNeue-Light"/>
          <w:sz w:val="20"/>
          <w:szCs w:val="20"/>
        </w:rPr>
      </w:pPr>
    </w:p>
    <w:p w14:paraId="6F1AD446" w14:textId="156CC096" w:rsidR="00963EC9" w:rsidRDefault="00963EC9" w:rsidP="006A5CF7">
      <w:pPr>
        <w:tabs>
          <w:tab w:val="left" w:pos="5812"/>
        </w:tabs>
        <w:autoSpaceDE w:val="0"/>
        <w:autoSpaceDN w:val="0"/>
        <w:adjustRightInd w:val="0"/>
        <w:rPr>
          <w:rFonts w:cs="HelveticaNeue-Light"/>
          <w:sz w:val="20"/>
          <w:szCs w:val="20"/>
        </w:rPr>
      </w:pPr>
      <w:r w:rsidRPr="00E43A20">
        <w:rPr>
          <w:rFonts w:cs="HelveticaNeue-Light"/>
          <w:sz w:val="20"/>
          <w:szCs w:val="20"/>
        </w:rPr>
        <w:t>Ireland exited the corrective arm of the Stability and Growth Pact (SGP) in 2016 and is now in the preventive arm of the SGP. This requires that Ireland meets its Medium-Term Objective</w:t>
      </w:r>
      <w:r w:rsidR="008043C7">
        <w:rPr>
          <w:rFonts w:cs="HelveticaNeue-Light"/>
          <w:sz w:val="20"/>
          <w:szCs w:val="20"/>
        </w:rPr>
        <w:t xml:space="preserve"> (MTO)</w:t>
      </w:r>
      <w:r w:rsidRPr="00E43A20">
        <w:rPr>
          <w:rFonts w:cs="HelveticaNeue-Light"/>
          <w:sz w:val="20"/>
          <w:szCs w:val="20"/>
        </w:rPr>
        <w:t xml:space="preserve"> in 2018, which require</w:t>
      </w:r>
      <w:r w:rsidR="008043C7">
        <w:rPr>
          <w:rFonts w:cs="HelveticaNeue-Light"/>
          <w:sz w:val="20"/>
          <w:szCs w:val="20"/>
        </w:rPr>
        <w:t>s</w:t>
      </w:r>
      <w:r w:rsidRPr="00E43A20">
        <w:rPr>
          <w:rFonts w:cs="HelveticaNeue-Light"/>
          <w:sz w:val="20"/>
          <w:szCs w:val="20"/>
        </w:rPr>
        <w:t xml:space="preserve"> achievement of a balanced budget in structural terms. In Ireland’s case, the budgetary deficit can amount to no more than 0.5</w:t>
      </w:r>
      <w:r>
        <w:rPr>
          <w:rFonts w:cs="HelveticaNeue-Light"/>
          <w:sz w:val="20"/>
          <w:szCs w:val="20"/>
        </w:rPr>
        <w:t xml:space="preserve"> per cent</w:t>
      </w:r>
      <w:r w:rsidRPr="00E43A20">
        <w:rPr>
          <w:rFonts w:cs="HelveticaNeue-Light"/>
          <w:sz w:val="20"/>
          <w:szCs w:val="20"/>
        </w:rPr>
        <w:t xml:space="preserve"> of GDP in 2018. Being in the preventive arm has implications for the leeway a country can request from the Commission with respect meeting its MTO. </w:t>
      </w:r>
    </w:p>
    <w:p w14:paraId="5844F216" w14:textId="77777777" w:rsidR="00AE7D30" w:rsidRPr="00E43A20" w:rsidRDefault="00AE7D30" w:rsidP="00E43A20">
      <w:pPr>
        <w:autoSpaceDE w:val="0"/>
        <w:autoSpaceDN w:val="0"/>
        <w:adjustRightInd w:val="0"/>
        <w:rPr>
          <w:rFonts w:cs="HelveticaNeue-Light"/>
          <w:sz w:val="20"/>
          <w:szCs w:val="20"/>
        </w:rPr>
      </w:pPr>
    </w:p>
    <w:p w14:paraId="68081C91" w14:textId="73B2DBEC" w:rsidR="00AE7D30" w:rsidRPr="00E43A20" w:rsidRDefault="00963EC9" w:rsidP="00E43A20">
      <w:pPr>
        <w:autoSpaceDE w:val="0"/>
        <w:autoSpaceDN w:val="0"/>
        <w:adjustRightInd w:val="0"/>
        <w:rPr>
          <w:rFonts w:cs="Arial"/>
          <w:sz w:val="20"/>
          <w:szCs w:val="20"/>
        </w:rPr>
      </w:pPr>
      <w:r>
        <w:rPr>
          <w:rFonts w:cs="HelveticaNeue-Light"/>
          <w:sz w:val="20"/>
          <w:szCs w:val="20"/>
        </w:rPr>
        <w:t>I</w:t>
      </w:r>
      <w:r w:rsidR="00AE7D30" w:rsidRPr="00E43A20">
        <w:rPr>
          <w:rFonts w:cs="HelveticaNeue-Light"/>
          <w:sz w:val="20"/>
          <w:szCs w:val="20"/>
        </w:rPr>
        <w:t xml:space="preserve">n June 2014, in order to </w:t>
      </w:r>
      <w:r w:rsidR="00AE7D30" w:rsidRPr="00E43A20">
        <w:rPr>
          <w:rFonts w:cs="Arial"/>
          <w:sz w:val="20"/>
          <w:szCs w:val="20"/>
        </w:rPr>
        <w:t xml:space="preserve">support </w:t>
      </w:r>
      <w:r w:rsidR="00AE7D30" w:rsidRPr="00E43A20">
        <w:rPr>
          <w:rFonts w:cs="Arial"/>
          <w:bCs/>
          <w:sz w:val="20"/>
          <w:szCs w:val="20"/>
        </w:rPr>
        <w:t>increased investment levels and to encourage structural reforms</w:t>
      </w:r>
      <w:r w:rsidR="00AE7D30" w:rsidRPr="00E43A20">
        <w:rPr>
          <w:rFonts w:cs="Arial"/>
          <w:sz w:val="20"/>
          <w:szCs w:val="20"/>
        </w:rPr>
        <w:t>, the European Council agreed that there was a need to explore how the existing rules of the Stability and Growth Pact (SGP) could be applied more flexibly without changing them. Following the European Council's guidance, the European Commission issued a</w:t>
      </w:r>
      <w:r w:rsidR="00AE7D30" w:rsidRPr="00E43A20">
        <w:rPr>
          <w:rStyle w:val="apple-converted-space"/>
          <w:rFonts w:cs="Arial"/>
          <w:sz w:val="20"/>
          <w:szCs w:val="20"/>
        </w:rPr>
        <w:t> </w:t>
      </w:r>
      <w:r w:rsidR="00AE7D30" w:rsidRPr="00E43A20">
        <w:rPr>
          <w:rFonts w:cs="Arial"/>
          <w:bCs/>
          <w:sz w:val="20"/>
          <w:szCs w:val="20"/>
        </w:rPr>
        <w:t xml:space="preserve">communication on </w:t>
      </w:r>
      <w:r w:rsidR="00AE7D30" w:rsidRPr="00E43A20">
        <w:rPr>
          <w:rFonts w:cs="Arial"/>
          <w:bCs/>
          <w:i/>
          <w:sz w:val="20"/>
          <w:szCs w:val="20"/>
        </w:rPr>
        <w:t>'Making the best use of the flexibility within the existing rules of the SGP</w:t>
      </w:r>
      <w:r w:rsidR="00AE7D30" w:rsidRPr="00E43A20">
        <w:rPr>
          <w:rFonts w:cs="Arial"/>
          <w:bCs/>
          <w:sz w:val="20"/>
          <w:szCs w:val="20"/>
        </w:rPr>
        <w:t>'</w:t>
      </w:r>
      <w:r w:rsidR="00AE7D30" w:rsidRPr="00E43A20">
        <w:rPr>
          <w:rStyle w:val="apple-converted-space"/>
          <w:rFonts w:cs="Arial"/>
          <w:sz w:val="20"/>
          <w:szCs w:val="20"/>
        </w:rPr>
        <w:t> </w:t>
      </w:r>
      <w:r w:rsidR="00AE7D30" w:rsidRPr="00E43A20">
        <w:rPr>
          <w:rFonts w:cs="Arial"/>
          <w:sz w:val="20"/>
          <w:szCs w:val="20"/>
        </w:rPr>
        <w:t>in January 2015.</w:t>
      </w:r>
      <w:r w:rsidR="00AE7D30" w:rsidRPr="00E43A20">
        <w:rPr>
          <w:rStyle w:val="FootnoteReference"/>
          <w:rFonts w:cs="Arial"/>
          <w:sz w:val="20"/>
          <w:szCs w:val="20"/>
        </w:rPr>
        <w:footnoteReference w:id="71"/>
      </w:r>
      <w:r w:rsidR="00AE7D30" w:rsidRPr="00E43A20">
        <w:rPr>
          <w:rFonts w:cs="Arial"/>
          <w:sz w:val="20"/>
          <w:szCs w:val="20"/>
        </w:rPr>
        <w:t xml:space="preserve"> </w:t>
      </w:r>
    </w:p>
    <w:p w14:paraId="1A3CDA11" w14:textId="77777777" w:rsidR="00AE7D30" w:rsidRPr="00E43A20" w:rsidRDefault="00AE7D30" w:rsidP="00E43A20">
      <w:pPr>
        <w:autoSpaceDE w:val="0"/>
        <w:autoSpaceDN w:val="0"/>
        <w:adjustRightInd w:val="0"/>
        <w:rPr>
          <w:rFonts w:cs="Arial"/>
          <w:sz w:val="20"/>
          <w:szCs w:val="20"/>
        </w:rPr>
      </w:pPr>
    </w:p>
    <w:p w14:paraId="0421774C" w14:textId="444909F4" w:rsidR="00AE7D30" w:rsidRPr="00E43A20" w:rsidRDefault="00AE7D30" w:rsidP="00E43A20">
      <w:pPr>
        <w:autoSpaceDE w:val="0"/>
        <w:autoSpaceDN w:val="0"/>
        <w:adjustRightInd w:val="0"/>
        <w:rPr>
          <w:rFonts w:eastAsia="Times New Roman" w:cs="Arial"/>
          <w:color w:val="000000"/>
          <w:sz w:val="20"/>
          <w:szCs w:val="20"/>
        </w:rPr>
      </w:pPr>
      <w:r w:rsidRPr="00E43A20">
        <w:rPr>
          <w:rFonts w:cs="Arial"/>
          <w:sz w:val="20"/>
          <w:szCs w:val="20"/>
        </w:rPr>
        <w:t>The outcome of this process was th</w:t>
      </w:r>
      <w:r w:rsidR="007D0C5C">
        <w:rPr>
          <w:rFonts w:cs="Arial"/>
          <w:sz w:val="20"/>
          <w:szCs w:val="20"/>
        </w:rPr>
        <w:t>at th</w:t>
      </w:r>
      <w:r w:rsidRPr="00E43A20">
        <w:rPr>
          <w:rFonts w:cs="Arial"/>
          <w:sz w:val="20"/>
          <w:szCs w:val="20"/>
        </w:rPr>
        <w:t>e Commission emphasis</w:t>
      </w:r>
      <w:r w:rsidR="007D0C5C">
        <w:rPr>
          <w:rFonts w:cs="Arial"/>
          <w:sz w:val="20"/>
          <w:szCs w:val="20"/>
        </w:rPr>
        <w:t>ed</w:t>
      </w:r>
      <w:r w:rsidRPr="00E43A20">
        <w:rPr>
          <w:rFonts w:cs="Arial"/>
          <w:sz w:val="20"/>
          <w:szCs w:val="20"/>
        </w:rPr>
        <w:t xml:space="preserve"> the </w:t>
      </w:r>
      <w:r w:rsidRPr="008043C7">
        <w:rPr>
          <w:rFonts w:cs="Arial"/>
          <w:b/>
          <w:sz w:val="20"/>
          <w:szCs w:val="20"/>
        </w:rPr>
        <w:t>Structural Reform Clause</w:t>
      </w:r>
      <w:r w:rsidRPr="00E43A20">
        <w:rPr>
          <w:rFonts w:cs="Arial"/>
          <w:sz w:val="20"/>
          <w:szCs w:val="20"/>
        </w:rPr>
        <w:t xml:space="preserve">, which </w:t>
      </w:r>
      <w:r w:rsidRPr="00E43A20">
        <w:rPr>
          <w:rFonts w:cs="Arial"/>
          <w:color w:val="3F4A52"/>
          <w:sz w:val="20"/>
          <w:szCs w:val="20"/>
        </w:rPr>
        <w:t>a</w:t>
      </w:r>
      <w:r w:rsidRPr="00E43A20">
        <w:rPr>
          <w:rFonts w:cs="HelveticaNeue-Light"/>
          <w:sz w:val="20"/>
          <w:szCs w:val="20"/>
        </w:rPr>
        <w:t>llows a state to apply for a temporary deviation of up to 0.5</w:t>
      </w:r>
      <w:r w:rsidR="00EE07B5">
        <w:rPr>
          <w:rFonts w:cs="HelveticaNeue-Light"/>
          <w:sz w:val="20"/>
          <w:szCs w:val="20"/>
        </w:rPr>
        <w:t xml:space="preserve"> per cent</w:t>
      </w:r>
      <w:r w:rsidRPr="00E43A20">
        <w:rPr>
          <w:rFonts w:cs="HelveticaNeue-Light"/>
          <w:sz w:val="20"/>
          <w:szCs w:val="20"/>
        </w:rPr>
        <w:t xml:space="preserve"> of GDP from the state’s Medium-Term Objective</w:t>
      </w:r>
      <w:r w:rsidR="007D0C5C">
        <w:rPr>
          <w:rFonts w:cs="HelveticaNeue-Light"/>
          <w:sz w:val="20"/>
          <w:szCs w:val="20"/>
        </w:rPr>
        <w:t xml:space="preserve"> (MTO)</w:t>
      </w:r>
      <w:r w:rsidRPr="00E43A20">
        <w:rPr>
          <w:rFonts w:cs="HelveticaNeue-Light"/>
          <w:sz w:val="20"/>
          <w:szCs w:val="20"/>
        </w:rPr>
        <w:t>, provided the state is not in the Excessive Deficit Procedure</w:t>
      </w:r>
      <w:r w:rsidR="00EE07B5">
        <w:rPr>
          <w:rFonts w:cs="HelveticaNeue-Light"/>
          <w:sz w:val="20"/>
          <w:szCs w:val="20"/>
        </w:rPr>
        <w:t xml:space="preserve"> (EDP)</w:t>
      </w:r>
      <w:r w:rsidRPr="00E43A20">
        <w:rPr>
          <w:rFonts w:cs="HelveticaNeue-Light"/>
          <w:sz w:val="20"/>
          <w:szCs w:val="20"/>
        </w:rPr>
        <w:t xml:space="preserve">. </w:t>
      </w:r>
      <w:r w:rsidRPr="008043C7">
        <w:rPr>
          <w:rFonts w:cs="HelveticaNeue-Light"/>
          <w:b/>
          <w:sz w:val="20"/>
          <w:szCs w:val="20"/>
        </w:rPr>
        <w:t>The state’s planned reforms must be major, have a long-term impact on growth and budgetary sustainability, and must be fully implemented.</w:t>
      </w:r>
      <w:r w:rsidRPr="00E43A20">
        <w:rPr>
          <w:rFonts w:cs="HelveticaNeue-Light"/>
          <w:sz w:val="20"/>
          <w:szCs w:val="20"/>
        </w:rPr>
        <w:t xml:space="preserve"> If leeway is granted, the MTO must be reached within four years. </w:t>
      </w:r>
      <w:r w:rsidRPr="00E43A20">
        <w:rPr>
          <w:rFonts w:eastAsia="Times New Roman" w:cs="Arial"/>
          <w:color w:val="000000"/>
          <w:sz w:val="20"/>
          <w:szCs w:val="20"/>
        </w:rPr>
        <w:t xml:space="preserve">The clause rewards past fiscal discipline by giving countries not in the EDP a better bargain. Recent examples provide some context:  </w:t>
      </w:r>
    </w:p>
    <w:p w14:paraId="12EA3E4F" w14:textId="45457E19" w:rsidR="00AE7D30" w:rsidRPr="00E43A20" w:rsidRDefault="00AE7D30" w:rsidP="000373A6">
      <w:pPr>
        <w:pStyle w:val="ListParagraph"/>
        <w:numPr>
          <w:ilvl w:val="0"/>
          <w:numId w:val="14"/>
        </w:numPr>
        <w:autoSpaceDE w:val="0"/>
        <w:autoSpaceDN w:val="0"/>
        <w:adjustRightInd w:val="0"/>
        <w:spacing w:after="0" w:line="280" w:lineRule="atLeast"/>
        <w:ind w:left="426" w:hanging="284"/>
        <w:jc w:val="both"/>
        <w:rPr>
          <w:rFonts w:asciiTheme="minorHAnsi" w:hAnsiTheme="minorHAnsi"/>
          <w:sz w:val="20"/>
          <w:szCs w:val="20"/>
        </w:rPr>
      </w:pPr>
      <w:r w:rsidRPr="00E43A20">
        <w:rPr>
          <w:rFonts w:asciiTheme="minorHAnsi" w:hAnsiTheme="minorHAnsi" w:cs="Arial"/>
          <w:sz w:val="20"/>
          <w:szCs w:val="20"/>
          <w:shd w:val="clear" w:color="auto" w:fill="FFFFFF"/>
        </w:rPr>
        <w:t>Italy was granted leeway to deviate from its MTO in 2016, amounting to 0.5</w:t>
      </w:r>
      <w:r w:rsidR="00A20CF3">
        <w:rPr>
          <w:rFonts w:asciiTheme="minorHAnsi" w:hAnsiTheme="minorHAnsi" w:cs="Arial"/>
          <w:sz w:val="20"/>
          <w:szCs w:val="20"/>
          <w:shd w:val="clear" w:color="auto" w:fill="FFFFFF"/>
        </w:rPr>
        <w:t xml:space="preserve"> per cent</w:t>
      </w:r>
      <w:r w:rsidRPr="00E43A20">
        <w:rPr>
          <w:rFonts w:asciiTheme="minorHAnsi" w:hAnsiTheme="minorHAnsi" w:cs="Arial"/>
          <w:sz w:val="20"/>
          <w:szCs w:val="20"/>
          <w:shd w:val="clear" w:color="auto" w:fill="FFFFFF"/>
        </w:rPr>
        <w:t xml:space="preserve"> of GDP to cover the cost of implementing structural reforms, 0.25</w:t>
      </w:r>
      <w:r w:rsidR="00A20CF3">
        <w:rPr>
          <w:rFonts w:asciiTheme="minorHAnsi" w:hAnsiTheme="minorHAnsi" w:cs="Arial"/>
          <w:sz w:val="20"/>
          <w:szCs w:val="20"/>
          <w:shd w:val="clear" w:color="auto" w:fill="FFFFFF"/>
        </w:rPr>
        <w:t xml:space="preserve"> per cent</w:t>
      </w:r>
      <w:r w:rsidRPr="00E43A20">
        <w:rPr>
          <w:rFonts w:asciiTheme="minorHAnsi" w:hAnsiTheme="minorHAnsi" w:cs="Arial"/>
          <w:sz w:val="20"/>
          <w:szCs w:val="20"/>
          <w:shd w:val="clear" w:color="auto" w:fill="FFFFFF"/>
        </w:rPr>
        <w:t xml:space="preserve"> of GDP for infrastructural investment and 0.1</w:t>
      </w:r>
      <w:r w:rsidR="00A20CF3">
        <w:rPr>
          <w:rFonts w:asciiTheme="minorHAnsi" w:hAnsiTheme="minorHAnsi" w:cs="Arial"/>
          <w:sz w:val="20"/>
          <w:szCs w:val="20"/>
          <w:shd w:val="clear" w:color="auto" w:fill="FFFFFF"/>
        </w:rPr>
        <w:t xml:space="preserve"> per cent</w:t>
      </w:r>
      <w:r w:rsidRPr="00E43A20">
        <w:rPr>
          <w:rFonts w:asciiTheme="minorHAnsi" w:hAnsiTheme="minorHAnsi" w:cs="Arial"/>
          <w:sz w:val="20"/>
          <w:szCs w:val="20"/>
          <w:shd w:val="clear" w:color="auto" w:fill="FFFFFF"/>
        </w:rPr>
        <w:t xml:space="preserve"> of GDP for costs related to the migrant crisis and anti-terrorism measures. This led </w:t>
      </w:r>
      <w:r w:rsidR="00A20CF3">
        <w:rPr>
          <w:rFonts w:asciiTheme="minorHAnsi" w:hAnsiTheme="minorHAnsi" w:cs="Arial"/>
          <w:sz w:val="20"/>
          <w:szCs w:val="20"/>
          <w:shd w:val="clear" w:color="auto" w:fill="FFFFFF"/>
        </w:rPr>
        <w:t xml:space="preserve">the </w:t>
      </w:r>
      <w:r w:rsidRPr="00E43A20">
        <w:rPr>
          <w:rFonts w:asciiTheme="minorHAnsi" w:hAnsiTheme="minorHAnsi" w:cs="Arial"/>
          <w:sz w:val="20"/>
          <w:szCs w:val="20"/>
          <w:shd w:val="clear" w:color="auto" w:fill="FFFFFF"/>
        </w:rPr>
        <w:t>then</w:t>
      </w:r>
      <w:r w:rsidR="00A20CF3">
        <w:rPr>
          <w:rFonts w:asciiTheme="minorHAnsi" w:hAnsiTheme="minorHAnsi" w:cs="Arial"/>
          <w:sz w:val="20"/>
          <w:szCs w:val="20"/>
          <w:shd w:val="clear" w:color="auto" w:fill="FFFFFF"/>
        </w:rPr>
        <w:t xml:space="preserve"> </w:t>
      </w:r>
      <w:r w:rsidRPr="00E43A20">
        <w:rPr>
          <w:rFonts w:asciiTheme="minorHAnsi" w:hAnsiTheme="minorHAnsi" w:cs="Arial"/>
          <w:sz w:val="20"/>
          <w:szCs w:val="20"/>
          <w:shd w:val="clear" w:color="auto" w:fill="FFFFFF"/>
        </w:rPr>
        <w:t>PM Renzi to state that the deviation “</w:t>
      </w:r>
      <w:r w:rsidRPr="00E43A20">
        <w:rPr>
          <w:rFonts w:asciiTheme="minorHAnsi" w:hAnsiTheme="minorHAnsi" w:cs="Arial"/>
          <w:i/>
          <w:sz w:val="20"/>
          <w:szCs w:val="20"/>
          <w:shd w:val="clear" w:color="auto" w:fill="FFFFFF"/>
        </w:rPr>
        <w:t>means a green light for investment that otherwise would have been blocked</w:t>
      </w:r>
      <w:r w:rsidRPr="00E43A20">
        <w:rPr>
          <w:rFonts w:asciiTheme="minorHAnsi" w:hAnsiTheme="minorHAnsi" w:cs="Arial"/>
          <w:sz w:val="20"/>
          <w:szCs w:val="20"/>
          <w:shd w:val="clear" w:color="auto" w:fill="FFFFFF"/>
        </w:rPr>
        <w:t>".</w:t>
      </w:r>
      <w:r w:rsidRPr="00E43A20">
        <w:rPr>
          <w:rStyle w:val="FootnoteReference"/>
          <w:rFonts w:asciiTheme="minorHAnsi" w:hAnsiTheme="minorHAnsi" w:cs="Arial"/>
          <w:sz w:val="20"/>
          <w:szCs w:val="20"/>
          <w:shd w:val="clear" w:color="auto" w:fill="FFFFFF"/>
        </w:rPr>
        <w:footnoteReference w:id="72"/>
      </w:r>
    </w:p>
    <w:p w14:paraId="3F6509CE" w14:textId="796D7A48" w:rsidR="00AE7D30" w:rsidRPr="00E43A20" w:rsidRDefault="00AE7D30" w:rsidP="000373A6">
      <w:pPr>
        <w:pStyle w:val="ListParagraph"/>
        <w:numPr>
          <w:ilvl w:val="0"/>
          <w:numId w:val="14"/>
        </w:numPr>
        <w:autoSpaceDE w:val="0"/>
        <w:autoSpaceDN w:val="0"/>
        <w:adjustRightInd w:val="0"/>
        <w:spacing w:after="0" w:line="280" w:lineRule="atLeast"/>
        <w:ind w:left="426" w:hanging="284"/>
        <w:jc w:val="both"/>
        <w:rPr>
          <w:rFonts w:asciiTheme="minorHAnsi" w:hAnsiTheme="minorHAnsi"/>
          <w:sz w:val="20"/>
          <w:szCs w:val="20"/>
          <w:shd w:val="clear" w:color="auto" w:fill="FFFFFF"/>
        </w:rPr>
      </w:pPr>
      <w:r w:rsidRPr="00E43A20">
        <w:rPr>
          <w:rFonts w:asciiTheme="minorHAnsi" w:hAnsiTheme="minorHAnsi" w:cs="HelveticaNeue-Light"/>
          <w:sz w:val="20"/>
          <w:szCs w:val="20"/>
        </w:rPr>
        <w:t>Lithuania submitted a request, as part of its Draft Budgetary Plan for 2017, for flexibility of up to 0.5</w:t>
      </w:r>
      <w:r w:rsidR="00A20CF3">
        <w:rPr>
          <w:rFonts w:asciiTheme="minorHAnsi" w:hAnsiTheme="minorHAnsi" w:cs="HelveticaNeue-Light"/>
          <w:sz w:val="20"/>
          <w:szCs w:val="20"/>
        </w:rPr>
        <w:t xml:space="preserve"> per cent</w:t>
      </w:r>
      <w:r w:rsidRPr="00E43A20">
        <w:rPr>
          <w:rFonts w:asciiTheme="minorHAnsi" w:hAnsiTheme="minorHAnsi" w:cs="HelveticaNeue-Light"/>
          <w:sz w:val="20"/>
          <w:szCs w:val="20"/>
        </w:rPr>
        <w:t xml:space="preserve"> </w:t>
      </w:r>
      <w:r w:rsidR="00A20CF3">
        <w:rPr>
          <w:rFonts w:asciiTheme="minorHAnsi" w:hAnsiTheme="minorHAnsi" w:cs="HelveticaNeue-Light"/>
          <w:sz w:val="20"/>
          <w:szCs w:val="20"/>
        </w:rPr>
        <w:t>of</w:t>
      </w:r>
      <w:r w:rsidRPr="00E43A20">
        <w:rPr>
          <w:rFonts w:asciiTheme="minorHAnsi" w:hAnsiTheme="minorHAnsi" w:cs="HelveticaNeue-Light"/>
          <w:sz w:val="20"/>
          <w:szCs w:val="20"/>
        </w:rPr>
        <w:t xml:space="preserve"> GDP for structural labour market and pension system reforms. </w:t>
      </w:r>
    </w:p>
    <w:p w14:paraId="22360B04" w14:textId="77777777" w:rsidR="00AE7D30" w:rsidRDefault="00AE7D30" w:rsidP="000373A6">
      <w:pPr>
        <w:pStyle w:val="ListParagraph"/>
        <w:numPr>
          <w:ilvl w:val="0"/>
          <w:numId w:val="14"/>
        </w:numPr>
        <w:autoSpaceDE w:val="0"/>
        <w:autoSpaceDN w:val="0"/>
        <w:adjustRightInd w:val="0"/>
        <w:spacing w:after="0" w:line="280" w:lineRule="atLeast"/>
        <w:ind w:left="426" w:hanging="284"/>
        <w:jc w:val="both"/>
        <w:rPr>
          <w:rFonts w:asciiTheme="minorHAnsi" w:hAnsiTheme="minorHAnsi"/>
          <w:sz w:val="20"/>
          <w:szCs w:val="20"/>
          <w:shd w:val="clear" w:color="auto" w:fill="FFFFFF"/>
        </w:rPr>
      </w:pPr>
      <w:r w:rsidRPr="00E43A20">
        <w:rPr>
          <w:rStyle w:val="Strong"/>
          <w:rFonts w:asciiTheme="minorHAnsi" w:hAnsiTheme="minorHAnsi"/>
          <w:b w:val="0"/>
          <w:sz w:val="20"/>
          <w:szCs w:val="20"/>
          <w:shd w:val="clear" w:color="auto" w:fill="FFFFFF"/>
        </w:rPr>
        <w:t>Finland</w:t>
      </w:r>
      <w:r w:rsidRPr="00E43A20">
        <w:rPr>
          <w:rStyle w:val="apple-converted-space"/>
          <w:rFonts w:asciiTheme="minorHAnsi" w:hAnsiTheme="minorHAnsi"/>
          <w:sz w:val="20"/>
          <w:szCs w:val="20"/>
          <w:shd w:val="clear" w:color="auto" w:fill="FFFFFF"/>
        </w:rPr>
        <w:t> </w:t>
      </w:r>
      <w:r w:rsidRPr="00E43A20">
        <w:rPr>
          <w:rFonts w:asciiTheme="minorHAnsi" w:hAnsiTheme="minorHAnsi"/>
          <w:sz w:val="20"/>
          <w:szCs w:val="20"/>
          <w:shd w:val="clear" w:color="auto" w:fill="FFFFFF"/>
        </w:rPr>
        <w:t>has applied for use of the structural reform clause and the investment clause for 2017. The Commission has said it “</w:t>
      </w:r>
      <w:r w:rsidRPr="00E43A20">
        <w:rPr>
          <w:rFonts w:asciiTheme="minorHAnsi" w:hAnsiTheme="minorHAnsi"/>
          <w:i/>
          <w:sz w:val="20"/>
          <w:szCs w:val="20"/>
          <w:shd w:val="clear" w:color="auto" w:fill="FFFFFF"/>
        </w:rPr>
        <w:t>will take account of the uncertainty surrounding the output gap estimates when considering Finland's eligibility for the clause</w:t>
      </w:r>
      <w:r w:rsidRPr="00E43A20">
        <w:rPr>
          <w:rFonts w:asciiTheme="minorHAnsi" w:hAnsiTheme="minorHAnsi"/>
          <w:sz w:val="20"/>
          <w:szCs w:val="20"/>
          <w:shd w:val="clear" w:color="auto" w:fill="FFFFFF"/>
        </w:rPr>
        <w:t>”.</w:t>
      </w:r>
      <w:r w:rsidRPr="00E43A20">
        <w:rPr>
          <w:rStyle w:val="FootnoteReference"/>
          <w:rFonts w:asciiTheme="minorHAnsi" w:hAnsiTheme="minorHAnsi"/>
          <w:sz w:val="20"/>
          <w:szCs w:val="20"/>
          <w:shd w:val="clear" w:color="auto" w:fill="FFFFFF"/>
        </w:rPr>
        <w:footnoteReference w:id="73"/>
      </w:r>
      <w:r w:rsidRPr="00E43A20">
        <w:rPr>
          <w:rFonts w:asciiTheme="minorHAnsi" w:hAnsiTheme="minorHAnsi"/>
          <w:sz w:val="20"/>
          <w:szCs w:val="20"/>
          <w:shd w:val="clear" w:color="auto" w:fill="FFFFFF"/>
        </w:rPr>
        <w:t xml:space="preserve"> </w:t>
      </w:r>
    </w:p>
    <w:p w14:paraId="54F6380B" w14:textId="77777777" w:rsidR="00A20CF3" w:rsidRPr="00E43A20" w:rsidRDefault="00A20CF3" w:rsidP="00A20CF3">
      <w:pPr>
        <w:pStyle w:val="ListParagraph"/>
        <w:autoSpaceDE w:val="0"/>
        <w:autoSpaceDN w:val="0"/>
        <w:adjustRightInd w:val="0"/>
        <w:spacing w:after="0" w:line="280" w:lineRule="atLeast"/>
        <w:ind w:left="426"/>
        <w:jc w:val="both"/>
        <w:rPr>
          <w:rFonts w:asciiTheme="minorHAnsi" w:hAnsiTheme="minorHAnsi"/>
          <w:sz w:val="20"/>
          <w:szCs w:val="20"/>
          <w:shd w:val="clear" w:color="auto" w:fill="FFFFFF"/>
        </w:rPr>
      </w:pPr>
    </w:p>
    <w:p w14:paraId="0E515081" w14:textId="5F02AFBA" w:rsidR="00AE7D30" w:rsidRPr="00E43A20" w:rsidRDefault="00AE7D30" w:rsidP="00E43A20">
      <w:pPr>
        <w:autoSpaceDE w:val="0"/>
        <w:autoSpaceDN w:val="0"/>
        <w:adjustRightInd w:val="0"/>
        <w:rPr>
          <w:rFonts w:cs="HelveticaNeue-Light"/>
          <w:b/>
          <w:sz w:val="20"/>
          <w:szCs w:val="20"/>
        </w:rPr>
      </w:pPr>
      <w:r w:rsidRPr="00E43A20">
        <w:rPr>
          <w:rFonts w:cs="HelveticaNeue-Light"/>
          <w:sz w:val="20"/>
          <w:szCs w:val="20"/>
        </w:rPr>
        <w:t xml:space="preserve">A decision on the latter two applications will be made by the Commission in May 2017. </w:t>
      </w:r>
      <w:r w:rsidRPr="00E43A20">
        <w:rPr>
          <w:color w:val="000000"/>
          <w:sz w:val="20"/>
          <w:szCs w:val="20"/>
          <w:shd w:val="clear" w:color="auto" w:fill="FFFFFF"/>
        </w:rPr>
        <w:t xml:space="preserve">The Finnish case is of particular relevance because if the Commission determines that uncertainty surrounding the country’s output gap allows the Clause to be invoked, a similar case could be made by the Irish </w:t>
      </w:r>
      <w:r w:rsidR="00A20CF3">
        <w:rPr>
          <w:color w:val="000000"/>
          <w:sz w:val="20"/>
          <w:szCs w:val="20"/>
          <w:shd w:val="clear" w:color="auto" w:fill="FFFFFF"/>
        </w:rPr>
        <w:t>G</w:t>
      </w:r>
      <w:r w:rsidRPr="00E43A20">
        <w:rPr>
          <w:color w:val="000000"/>
          <w:sz w:val="20"/>
          <w:szCs w:val="20"/>
          <w:shd w:val="clear" w:color="auto" w:fill="FFFFFF"/>
        </w:rPr>
        <w:t xml:space="preserve">overnment for leeway to be granted in 2018. </w:t>
      </w:r>
    </w:p>
    <w:p w14:paraId="608A133E" w14:textId="77777777" w:rsidR="00AE7D30" w:rsidRPr="00E43A20" w:rsidRDefault="00AE7D30" w:rsidP="00E43A20">
      <w:pPr>
        <w:autoSpaceDE w:val="0"/>
        <w:autoSpaceDN w:val="0"/>
        <w:adjustRightInd w:val="0"/>
        <w:rPr>
          <w:rFonts w:cs="HelveticaNeue-Light"/>
          <w:b/>
          <w:sz w:val="20"/>
          <w:szCs w:val="20"/>
        </w:rPr>
      </w:pPr>
    </w:p>
    <w:p w14:paraId="2C111C13" w14:textId="77777777" w:rsidR="00AE7D30" w:rsidRPr="00E43A20" w:rsidRDefault="00AE7D30" w:rsidP="00E43A20">
      <w:pPr>
        <w:autoSpaceDE w:val="0"/>
        <w:autoSpaceDN w:val="0"/>
        <w:adjustRightInd w:val="0"/>
        <w:rPr>
          <w:rFonts w:eastAsia="Times New Roman" w:cs="Arial"/>
          <w:color w:val="000000"/>
          <w:sz w:val="20"/>
          <w:szCs w:val="20"/>
        </w:rPr>
      </w:pPr>
      <w:r w:rsidRPr="00E43A20">
        <w:rPr>
          <w:rFonts w:cs="HelveticaNeue-Light"/>
          <w:sz w:val="20"/>
          <w:szCs w:val="20"/>
        </w:rPr>
        <w:t xml:space="preserve">Whilst the Structural Reform Clause could be invoked until Ireland reaches its MTO, leeway to invest is also available if the health of the economy worsens. The </w:t>
      </w:r>
      <w:r w:rsidRPr="00C47E19">
        <w:rPr>
          <w:rFonts w:cs="HelveticaNeue-Light"/>
          <w:b/>
          <w:sz w:val="20"/>
          <w:szCs w:val="20"/>
        </w:rPr>
        <w:t>investment clause</w:t>
      </w:r>
      <w:r w:rsidRPr="00E43A20">
        <w:rPr>
          <w:rFonts w:cs="HelveticaNeue-Light"/>
          <w:sz w:val="20"/>
          <w:szCs w:val="20"/>
        </w:rPr>
        <w:t xml:space="preserve"> allows a state to deviate temporarily from its path toward its Medium-Term Objective </w:t>
      </w:r>
      <w:r w:rsidRPr="00E43A20">
        <w:rPr>
          <w:rFonts w:eastAsia="Times New Roman" w:cs="Arial"/>
          <w:color w:val="000000"/>
          <w:sz w:val="20"/>
          <w:szCs w:val="20"/>
        </w:rPr>
        <w:t>in case of recession. A country is allowed to deviate from the adjustment path toward the MTO provided:</w:t>
      </w:r>
    </w:p>
    <w:p w14:paraId="276EC39F" w14:textId="2ADFBBFB" w:rsidR="00AE7D30" w:rsidRPr="00E43A20" w:rsidRDefault="00AE7D30" w:rsidP="008043C7">
      <w:pPr>
        <w:numPr>
          <w:ilvl w:val="0"/>
          <w:numId w:val="5"/>
        </w:numPr>
        <w:ind w:left="600"/>
        <w:textAlignment w:val="baseline"/>
        <w:rPr>
          <w:rFonts w:eastAsia="Times New Roman" w:cs="Arial"/>
          <w:color w:val="000000"/>
          <w:sz w:val="20"/>
          <w:szCs w:val="20"/>
        </w:rPr>
      </w:pPr>
      <w:r w:rsidRPr="00E43A20">
        <w:rPr>
          <w:rFonts w:eastAsia="Times New Roman" w:cs="Arial"/>
          <w:color w:val="000000"/>
          <w:sz w:val="20"/>
          <w:szCs w:val="20"/>
        </w:rPr>
        <w:t>The investment has a measurable positive effect on growth and public finances</w:t>
      </w:r>
      <w:r w:rsidR="00A20CF3">
        <w:rPr>
          <w:rFonts w:eastAsia="Times New Roman" w:cs="Arial"/>
          <w:color w:val="000000"/>
          <w:sz w:val="20"/>
          <w:szCs w:val="20"/>
        </w:rPr>
        <w:t>;</w:t>
      </w:r>
    </w:p>
    <w:p w14:paraId="5F535F82" w14:textId="52DD4759" w:rsidR="00AE7D30" w:rsidRPr="00E43A20" w:rsidRDefault="00AE7D30" w:rsidP="008043C7">
      <w:pPr>
        <w:numPr>
          <w:ilvl w:val="0"/>
          <w:numId w:val="5"/>
        </w:numPr>
        <w:ind w:left="600"/>
        <w:textAlignment w:val="baseline"/>
        <w:rPr>
          <w:rFonts w:eastAsia="Times New Roman" w:cs="Arial"/>
          <w:color w:val="000000"/>
          <w:sz w:val="20"/>
          <w:szCs w:val="20"/>
        </w:rPr>
      </w:pPr>
      <w:r w:rsidRPr="00E43A20">
        <w:rPr>
          <w:rFonts w:eastAsia="Times New Roman" w:cs="Arial"/>
          <w:color w:val="000000"/>
          <w:sz w:val="20"/>
          <w:szCs w:val="20"/>
        </w:rPr>
        <w:t>The country is not under an EDP</w:t>
      </w:r>
      <w:r w:rsidR="00A20CF3">
        <w:rPr>
          <w:rFonts w:eastAsia="Times New Roman" w:cs="Arial"/>
          <w:color w:val="000000"/>
          <w:sz w:val="20"/>
          <w:szCs w:val="20"/>
        </w:rPr>
        <w:t>;</w:t>
      </w:r>
    </w:p>
    <w:p w14:paraId="1C83F9A3" w14:textId="3BC7C534" w:rsidR="00AE7D30" w:rsidRPr="00E43A20" w:rsidRDefault="00AE7D30" w:rsidP="008043C7">
      <w:pPr>
        <w:numPr>
          <w:ilvl w:val="0"/>
          <w:numId w:val="5"/>
        </w:numPr>
        <w:ind w:left="600"/>
        <w:textAlignment w:val="baseline"/>
        <w:rPr>
          <w:rFonts w:eastAsia="Times New Roman" w:cs="Arial"/>
          <w:color w:val="000000"/>
          <w:sz w:val="20"/>
          <w:szCs w:val="20"/>
        </w:rPr>
      </w:pPr>
      <w:r w:rsidRPr="00E43A20">
        <w:rPr>
          <w:rFonts w:eastAsia="Times New Roman" w:cs="Arial"/>
          <w:color w:val="000000"/>
          <w:sz w:val="20"/>
          <w:szCs w:val="20"/>
        </w:rPr>
        <w:t>The country is in recession (defined as negative growth or  output below 1.5% of  potential)</w:t>
      </w:r>
      <w:r w:rsidR="00A20CF3">
        <w:rPr>
          <w:rFonts w:eastAsia="Times New Roman" w:cs="Arial"/>
          <w:color w:val="000000"/>
          <w:sz w:val="20"/>
          <w:szCs w:val="20"/>
        </w:rPr>
        <w:t>;</w:t>
      </w:r>
    </w:p>
    <w:p w14:paraId="0E0C9BEA" w14:textId="3E0A2F02" w:rsidR="00AE7D30" w:rsidRPr="00E43A20" w:rsidRDefault="00AE7D30" w:rsidP="008043C7">
      <w:pPr>
        <w:numPr>
          <w:ilvl w:val="0"/>
          <w:numId w:val="5"/>
        </w:numPr>
        <w:ind w:left="600"/>
        <w:textAlignment w:val="baseline"/>
        <w:rPr>
          <w:rFonts w:eastAsia="Times New Roman" w:cs="Arial"/>
          <w:color w:val="000000"/>
          <w:sz w:val="20"/>
          <w:szCs w:val="20"/>
        </w:rPr>
      </w:pPr>
      <w:r w:rsidRPr="00E43A20">
        <w:rPr>
          <w:rFonts w:eastAsia="Times New Roman" w:cs="Arial"/>
          <w:color w:val="000000"/>
          <w:sz w:val="20"/>
          <w:szCs w:val="20"/>
        </w:rPr>
        <w:t>The deviation is temporary (e.g. it is compensated within the time framework agreed in the convergence plan and does not lead to violation of the 3% deficit limit)</w:t>
      </w:r>
      <w:r w:rsidR="00A20CF3">
        <w:rPr>
          <w:rFonts w:eastAsia="Times New Roman" w:cs="Arial"/>
          <w:color w:val="000000"/>
          <w:sz w:val="20"/>
          <w:szCs w:val="20"/>
        </w:rPr>
        <w:t>;</w:t>
      </w:r>
      <w:r w:rsidRPr="00E43A20">
        <w:rPr>
          <w:rFonts w:eastAsia="Times New Roman" w:cs="Arial"/>
          <w:color w:val="000000"/>
          <w:sz w:val="20"/>
          <w:szCs w:val="20"/>
        </w:rPr>
        <w:t xml:space="preserve"> or </w:t>
      </w:r>
    </w:p>
    <w:p w14:paraId="14C60E3E" w14:textId="77777777" w:rsidR="00AE7D30" w:rsidRPr="00E43A20" w:rsidRDefault="00AE7D30" w:rsidP="008043C7">
      <w:pPr>
        <w:numPr>
          <w:ilvl w:val="0"/>
          <w:numId w:val="5"/>
        </w:numPr>
        <w:ind w:left="600"/>
        <w:textAlignment w:val="baseline"/>
        <w:rPr>
          <w:rFonts w:eastAsia="Times New Roman" w:cs="Arial"/>
          <w:color w:val="000000"/>
          <w:sz w:val="20"/>
          <w:szCs w:val="20"/>
        </w:rPr>
      </w:pPr>
      <w:r w:rsidRPr="00E43A20">
        <w:rPr>
          <w:rFonts w:eastAsia="Times New Roman" w:cs="Arial"/>
          <w:color w:val="000000"/>
          <w:sz w:val="20"/>
          <w:szCs w:val="20"/>
        </w:rPr>
        <w:t>The investment is co-financed by EU institutions.</w:t>
      </w:r>
    </w:p>
    <w:p w14:paraId="27BA3B5E" w14:textId="77777777" w:rsidR="00A20CF3" w:rsidRDefault="00A20CF3" w:rsidP="00E43A20">
      <w:pPr>
        <w:shd w:val="clear" w:color="auto" w:fill="FFFFFF"/>
        <w:textAlignment w:val="baseline"/>
        <w:rPr>
          <w:rFonts w:eastAsia="Times New Roman" w:cs="Arial"/>
          <w:color w:val="000000"/>
          <w:sz w:val="20"/>
          <w:szCs w:val="20"/>
        </w:rPr>
      </w:pPr>
    </w:p>
    <w:p w14:paraId="0D1D16C6" w14:textId="511C8ACA" w:rsidR="00AE7D30" w:rsidRDefault="00AE7D30" w:rsidP="00E43A20">
      <w:pPr>
        <w:shd w:val="clear" w:color="auto" w:fill="FFFFFF"/>
        <w:textAlignment w:val="baseline"/>
        <w:rPr>
          <w:rFonts w:cs="HelveticaNeue-Light"/>
          <w:sz w:val="20"/>
          <w:szCs w:val="20"/>
        </w:rPr>
      </w:pPr>
      <w:r w:rsidRPr="00E43A20">
        <w:rPr>
          <w:rFonts w:eastAsia="Times New Roman" w:cs="Arial"/>
          <w:color w:val="000000"/>
          <w:sz w:val="20"/>
          <w:szCs w:val="20"/>
        </w:rPr>
        <w:t xml:space="preserve">Under the investment clause, therefore, leeway is thus available if </w:t>
      </w:r>
      <w:r w:rsidRPr="00E43A20">
        <w:rPr>
          <w:rFonts w:cs="HelveticaNeue-Light"/>
          <w:sz w:val="20"/>
          <w:szCs w:val="20"/>
        </w:rPr>
        <w:t xml:space="preserve">there is a negative output gap, the deviation does not put the state in the EDP, and the investment has a long-term impact on growth and budgetary sustainability. At present, Ireland does not fit the criteria that would allow the Government to apply for the investment clause. If, in the coming years, the State’s budgetary and economic situation deteriorates such that the country is eligible to invoke the clause, leeway could be applied to invest in projects that might bolster the economy. </w:t>
      </w:r>
    </w:p>
    <w:p w14:paraId="1ED79B6E" w14:textId="507296DD" w:rsidR="007F3EDC" w:rsidRDefault="007F3EDC" w:rsidP="007F3EDC">
      <w:pPr>
        <w:pStyle w:val="DKM2"/>
      </w:pPr>
      <w:bookmarkStart w:id="43" w:name="_Toc478116697"/>
      <w:r>
        <w:t>Recommendations</w:t>
      </w:r>
      <w:bookmarkEnd w:id="43"/>
    </w:p>
    <w:p w14:paraId="354C1A1C" w14:textId="77777777" w:rsidR="007F3EDC" w:rsidRPr="00F35EE2" w:rsidRDefault="007F3EDC" w:rsidP="007F3EDC">
      <w:pPr>
        <w:pStyle w:val="ListParagraph"/>
        <w:numPr>
          <w:ilvl w:val="0"/>
          <w:numId w:val="38"/>
        </w:numPr>
        <w:spacing w:after="0" w:line="280" w:lineRule="atLeast"/>
        <w:ind w:left="426"/>
        <w:jc w:val="both"/>
        <w:rPr>
          <w:sz w:val="20"/>
          <w:szCs w:val="20"/>
        </w:rPr>
      </w:pPr>
      <w:r w:rsidRPr="00F35EE2">
        <w:rPr>
          <w:sz w:val="20"/>
          <w:szCs w:val="20"/>
        </w:rPr>
        <w:t xml:space="preserve">Ireland has been spending relatively little on capital expenditure when compared with other EU countries. The industry in other EU countries has called for the introduction, via legislation, of </w:t>
      </w:r>
      <w:r w:rsidRPr="001504CE">
        <w:rPr>
          <w:b/>
          <w:sz w:val="20"/>
          <w:szCs w:val="20"/>
        </w:rPr>
        <w:t>national investment targets</w:t>
      </w:r>
      <w:r w:rsidRPr="00F35EE2">
        <w:rPr>
          <w:sz w:val="20"/>
          <w:szCs w:val="20"/>
        </w:rPr>
        <w:t xml:space="preserve"> (e.g. as a percentage of output). Such targets could, for example, ensure that capital expenditure grows in line with the economy. The Government could consider this policy approach as a means of ensuring that the economy and public investment move in unison. </w:t>
      </w:r>
    </w:p>
    <w:p w14:paraId="439268A8" w14:textId="77777777" w:rsidR="007F3EDC" w:rsidRPr="002028F7" w:rsidRDefault="007F3EDC" w:rsidP="007F3EDC">
      <w:pPr>
        <w:ind w:left="426"/>
        <w:rPr>
          <w:sz w:val="20"/>
          <w:szCs w:val="20"/>
        </w:rPr>
      </w:pPr>
    </w:p>
    <w:p w14:paraId="62C5CF9E" w14:textId="77777777" w:rsidR="007F3EDC" w:rsidRPr="00485057" w:rsidRDefault="007F3EDC" w:rsidP="007F3EDC">
      <w:pPr>
        <w:pStyle w:val="DKMBodyText"/>
        <w:numPr>
          <w:ilvl w:val="0"/>
          <w:numId w:val="38"/>
        </w:numPr>
        <w:ind w:left="426"/>
        <w:rPr>
          <w:rFonts w:asciiTheme="minorHAnsi" w:hAnsiTheme="minorHAnsi"/>
          <w:sz w:val="20"/>
          <w:szCs w:val="20"/>
        </w:rPr>
      </w:pPr>
      <w:r w:rsidRPr="00F32AFE">
        <w:rPr>
          <w:sz w:val="20"/>
          <w:szCs w:val="20"/>
        </w:rPr>
        <w:t>With the decline in the Exchequer proportion of the PCP over the past decade, th</w:t>
      </w:r>
      <w:r w:rsidRPr="002028F7">
        <w:rPr>
          <w:sz w:val="20"/>
          <w:szCs w:val="20"/>
        </w:rPr>
        <w:t xml:space="preserve">e exact identity and nature of capital projects is difficult to discern. A </w:t>
      </w:r>
      <w:r w:rsidRPr="00AD15F6">
        <w:rPr>
          <w:b/>
          <w:sz w:val="20"/>
          <w:szCs w:val="20"/>
        </w:rPr>
        <w:t>centralised database</w:t>
      </w:r>
      <w:r w:rsidRPr="002028F7">
        <w:rPr>
          <w:sz w:val="20"/>
          <w:szCs w:val="20"/>
        </w:rPr>
        <w:t xml:space="preserve"> of all capital projects being undertaken by the Exchequer and by semi-state bodies would provide stakeholders such as the CIF with greater certainty and clarity about ongoing and future work. </w:t>
      </w:r>
      <w:r>
        <w:rPr>
          <w:rFonts w:asciiTheme="minorHAnsi" w:hAnsiTheme="minorHAnsi"/>
          <w:sz w:val="20"/>
          <w:szCs w:val="20"/>
        </w:rPr>
        <w:t xml:space="preserve">In this regard a </w:t>
      </w:r>
      <w:r w:rsidRPr="001504CE">
        <w:rPr>
          <w:rFonts w:asciiTheme="minorHAnsi" w:hAnsiTheme="minorHAnsi"/>
          <w:b/>
          <w:sz w:val="20"/>
          <w:szCs w:val="20"/>
        </w:rPr>
        <w:t>Cross Departmental Committee</w:t>
      </w:r>
      <w:r>
        <w:rPr>
          <w:rFonts w:asciiTheme="minorHAnsi" w:hAnsiTheme="minorHAnsi"/>
          <w:sz w:val="20"/>
          <w:szCs w:val="20"/>
        </w:rPr>
        <w:t xml:space="preserve"> should be established to monitor progress on public sector construction projects on a quarterly basis and address any barriers which are impeding the delivery of projects on time.  </w:t>
      </w:r>
    </w:p>
    <w:p w14:paraId="59BAD164" w14:textId="77777777" w:rsidR="007F3EDC" w:rsidRPr="002028F7" w:rsidRDefault="007F3EDC" w:rsidP="007F3EDC">
      <w:pPr>
        <w:ind w:left="426"/>
        <w:rPr>
          <w:sz w:val="20"/>
          <w:szCs w:val="20"/>
        </w:rPr>
      </w:pPr>
    </w:p>
    <w:p w14:paraId="6EFFBFDE" w14:textId="77777777" w:rsidR="007F3EDC" w:rsidRPr="00F35EE2" w:rsidRDefault="007F3EDC" w:rsidP="007F3EDC">
      <w:pPr>
        <w:pStyle w:val="ListParagraph"/>
        <w:numPr>
          <w:ilvl w:val="0"/>
          <w:numId w:val="38"/>
        </w:numPr>
        <w:spacing w:after="0" w:line="280" w:lineRule="atLeast"/>
        <w:ind w:left="426"/>
        <w:jc w:val="both"/>
        <w:rPr>
          <w:sz w:val="20"/>
          <w:szCs w:val="20"/>
        </w:rPr>
      </w:pPr>
      <w:r w:rsidRPr="00F35EE2">
        <w:rPr>
          <w:sz w:val="20"/>
          <w:szCs w:val="20"/>
        </w:rPr>
        <w:t xml:space="preserve">Whilst the Capital Plan provides for an allocation of funding to </w:t>
      </w:r>
      <w:r w:rsidRPr="00AD15F6">
        <w:rPr>
          <w:b/>
          <w:sz w:val="20"/>
          <w:szCs w:val="20"/>
        </w:rPr>
        <w:t>higher education PPP projects</w:t>
      </w:r>
      <w:r w:rsidRPr="00F35EE2">
        <w:rPr>
          <w:sz w:val="20"/>
          <w:szCs w:val="20"/>
        </w:rPr>
        <w:t>, there is general concern that the funding being allocated to the sector will not be sufficient to meet demand. Although an expansion of university places will be required to keep pace with population changes from 2021 to at least 2026, the Capital Plan does not appear to have accounted for this increase. The Government should re-evaluate this issue through the mid-term review of the Capital Plan.</w:t>
      </w:r>
    </w:p>
    <w:p w14:paraId="64709FFB" w14:textId="77777777" w:rsidR="007F3EDC" w:rsidRPr="002028F7" w:rsidRDefault="007F3EDC" w:rsidP="007F3EDC">
      <w:pPr>
        <w:ind w:left="426"/>
        <w:rPr>
          <w:sz w:val="20"/>
          <w:szCs w:val="20"/>
        </w:rPr>
      </w:pPr>
    </w:p>
    <w:p w14:paraId="4FB65598" w14:textId="77777777" w:rsidR="007F3EDC" w:rsidRDefault="007F3EDC" w:rsidP="007F3EDC">
      <w:pPr>
        <w:pStyle w:val="ListParagraph"/>
        <w:numPr>
          <w:ilvl w:val="0"/>
          <w:numId w:val="38"/>
        </w:numPr>
        <w:spacing w:after="0" w:line="280" w:lineRule="atLeast"/>
        <w:ind w:left="426"/>
        <w:jc w:val="both"/>
        <w:rPr>
          <w:sz w:val="20"/>
          <w:szCs w:val="20"/>
        </w:rPr>
      </w:pPr>
      <w:r w:rsidRPr="00513210">
        <w:rPr>
          <w:sz w:val="20"/>
          <w:szCs w:val="20"/>
        </w:rPr>
        <w:t xml:space="preserve">The absence of the proposed </w:t>
      </w:r>
      <w:r w:rsidRPr="00AD15F6">
        <w:rPr>
          <w:b/>
          <w:sz w:val="20"/>
          <w:szCs w:val="20"/>
        </w:rPr>
        <w:t>Cork-Limerick motorway</w:t>
      </w:r>
      <w:r w:rsidRPr="00513210">
        <w:rPr>
          <w:sz w:val="20"/>
          <w:szCs w:val="20"/>
        </w:rPr>
        <w:t xml:space="preserve"> (M20) and an outer Dublin Ring Road ((Leinster Orbital Route) from the Capital Plan has been put down to cost reasons. Given the strategic importance of the former and the significant pressure on the latter, we would welcome a review of why these projects are excluded from the Capital Plan. </w:t>
      </w:r>
    </w:p>
    <w:p w14:paraId="20FE9A43" w14:textId="77777777" w:rsidR="007F3EDC" w:rsidRPr="00513210" w:rsidRDefault="007F3EDC" w:rsidP="007F3EDC">
      <w:pPr>
        <w:pStyle w:val="ListParagraph"/>
        <w:spacing w:after="0" w:line="280" w:lineRule="atLeast"/>
        <w:ind w:left="426"/>
        <w:rPr>
          <w:sz w:val="20"/>
          <w:szCs w:val="20"/>
        </w:rPr>
      </w:pPr>
    </w:p>
    <w:p w14:paraId="6270C159" w14:textId="77777777" w:rsidR="007F3EDC" w:rsidRPr="00F35EE2" w:rsidRDefault="007F3EDC" w:rsidP="007F3EDC">
      <w:pPr>
        <w:pStyle w:val="ListParagraph"/>
        <w:numPr>
          <w:ilvl w:val="0"/>
          <w:numId w:val="38"/>
        </w:numPr>
        <w:spacing w:after="0" w:line="280" w:lineRule="atLeast"/>
        <w:ind w:left="426"/>
        <w:jc w:val="both"/>
        <w:rPr>
          <w:sz w:val="20"/>
          <w:szCs w:val="20"/>
        </w:rPr>
      </w:pPr>
      <w:r w:rsidRPr="00F35EE2">
        <w:rPr>
          <w:sz w:val="20"/>
          <w:szCs w:val="20"/>
        </w:rPr>
        <w:t xml:space="preserve">The Government plans to allocate €1bn from the Fiscal Space to a </w:t>
      </w:r>
      <w:r w:rsidRPr="00AD15F6">
        <w:rPr>
          <w:b/>
          <w:sz w:val="20"/>
          <w:szCs w:val="20"/>
        </w:rPr>
        <w:t xml:space="preserve">Rainy Day Fund </w:t>
      </w:r>
      <w:r w:rsidRPr="00F35EE2">
        <w:rPr>
          <w:sz w:val="20"/>
          <w:szCs w:val="20"/>
        </w:rPr>
        <w:t xml:space="preserve">on an annual basis from 2019. Whilst this measure could act as a buffer against future shocks to the economy and the public finances, the Government could consider postponing the allocation for 2019, at least. This would allow for greater levels of public capital investment in 2019 than that which is currently planned. Where there are good projects that earn a return and add to the </w:t>
      </w:r>
      <w:r w:rsidRPr="00AD15F6">
        <w:rPr>
          <w:sz w:val="20"/>
          <w:szCs w:val="20"/>
        </w:rPr>
        <w:t>productive potential of the economy</w:t>
      </w:r>
      <w:r w:rsidRPr="00F35EE2">
        <w:rPr>
          <w:sz w:val="20"/>
          <w:szCs w:val="20"/>
        </w:rPr>
        <w:t>, here should be scope to use the rainy day fund.</w:t>
      </w:r>
    </w:p>
    <w:p w14:paraId="1AB65857" w14:textId="77777777" w:rsidR="007F3EDC" w:rsidRPr="002028F7" w:rsidRDefault="007F3EDC" w:rsidP="007F3EDC">
      <w:pPr>
        <w:ind w:left="426"/>
        <w:rPr>
          <w:sz w:val="20"/>
          <w:szCs w:val="20"/>
        </w:rPr>
      </w:pPr>
    </w:p>
    <w:p w14:paraId="6067AF63" w14:textId="77777777" w:rsidR="007F3EDC" w:rsidRPr="00F35EE2" w:rsidRDefault="007F3EDC" w:rsidP="007F3EDC">
      <w:pPr>
        <w:pStyle w:val="ListParagraph"/>
        <w:numPr>
          <w:ilvl w:val="0"/>
          <w:numId w:val="38"/>
        </w:numPr>
        <w:spacing w:after="0" w:line="280" w:lineRule="atLeast"/>
        <w:ind w:left="426"/>
        <w:jc w:val="both"/>
        <w:rPr>
          <w:sz w:val="20"/>
          <w:szCs w:val="20"/>
        </w:rPr>
      </w:pPr>
      <w:r w:rsidRPr="00F35EE2">
        <w:rPr>
          <w:sz w:val="20"/>
          <w:szCs w:val="20"/>
        </w:rPr>
        <w:t xml:space="preserve">The CIF understands that a number of commentators have criticised the </w:t>
      </w:r>
      <w:r w:rsidRPr="00AD15F6">
        <w:rPr>
          <w:b/>
          <w:sz w:val="20"/>
          <w:szCs w:val="20"/>
        </w:rPr>
        <w:t>EU Commission’s methodology</w:t>
      </w:r>
      <w:r w:rsidRPr="00F35EE2">
        <w:rPr>
          <w:sz w:val="20"/>
          <w:szCs w:val="20"/>
        </w:rPr>
        <w:t xml:space="preserve"> with respect to calculating the fiscal space available to the Government. In gauging whether the economy is overheating (an important aspect of calculating fiscal space), the methodology places too great an emphasis on recent unemployment rates, which in Ireland’s case were particularly high. The Government could request that the Commission reassesses the merits of this approach for countries that experienced significant unemployment in the recent past. </w:t>
      </w:r>
    </w:p>
    <w:p w14:paraId="04C04222" w14:textId="77777777" w:rsidR="007F3EDC" w:rsidRPr="002028F7" w:rsidRDefault="007F3EDC" w:rsidP="007F3EDC">
      <w:pPr>
        <w:ind w:left="426"/>
        <w:rPr>
          <w:sz w:val="20"/>
          <w:szCs w:val="20"/>
        </w:rPr>
      </w:pPr>
    </w:p>
    <w:p w14:paraId="5EB5CBAC" w14:textId="77777777" w:rsidR="007F3EDC" w:rsidRPr="00F35EE2" w:rsidRDefault="007F3EDC" w:rsidP="007F3EDC">
      <w:pPr>
        <w:pStyle w:val="ListParagraph"/>
        <w:numPr>
          <w:ilvl w:val="0"/>
          <w:numId w:val="38"/>
        </w:numPr>
        <w:spacing w:after="0" w:line="280" w:lineRule="atLeast"/>
        <w:ind w:left="426"/>
        <w:jc w:val="both"/>
        <w:rPr>
          <w:sz w:val="20"/>
          <w:szCs w:val="20"/>
        </w:rPr>
      </w:pPr>
      <w:r w:rsidRPr="00F35EE2">
        <w:rPr>
          <w:sz w:val="20"/>
          <w:szCs w:val="20"/>
        </w:rPr>
        <w:t xml:space="preserve">In 2015, the Commission clarified the flexibility that is available to Member States around the fiscal rules: namely, these are the </w:t>
      </w:r>
      <w:r w:rsidRPr="00AD15F6">
        <w:rPr>
          <w:b/>
          <w:sz w:val="20"/>
          <w:szCs w:val="20"/>
        </w:rPr>
        <w:t>Structural Reform Clause</w:t>
      </w:r>
      <w:r w:rsidRPr="00F35EE2">
        <w:rPr>
          <w:sz w:val="20"/>
          <w:szCs w:val="20"/>
        </w:rPr>
        <w:t xml:space="preserve"> and the Investment Clause. At present, Ireland would be eligible to invoke the former but not the latter, and significant structural reforms could be undertaken in Ireland. The Government should seek to invoke this clause as part of its submission of its budgetary plans for 2018 to the Commission and we encourage consideration of same. </w:t>
      </w:r>
    </w:p>
    <w:p w14:paraId="67D36EBC" w14:textId="77777777" w:rsidR="007F3EDC" w:rsidRDefault="007F3EDC" w:rsidP="007F3EDC">
      <w:pPr>
        <w:shd w:val="clear" w:color="auto" w:fill="FFFFFF"/>
        <w:ind w:left="426"/>
        <w:textAlignment w:val="baseline"/>
        <w:rPr>
          <w:rFonts w:cs="HelveticaNeue-Light"/>
          <w:sz w:val="20"/>
          <w:szCs w:val="20"/>
        </w:rPr>
      </w:pPr>
    </w:p>
    <w:p w14:paraId="1C939A8C" w14:textId="77777777" w:rsidR="00C47E19" w:rsidRDefault="00C47E19" w:rsidP="00E43A20">
      <w:pPr>
        <w:shd w:val="clear" w:color="auto" w:fill="FFFFFF"/>
        <w:textAlignment w:val="baseline"/>
        <w:rPr>
          <w:rFonts w:cs="HelveticaNeue-Light"/>
          <w:sz w:val="20"/>
          <w:szCs w:val="20"/>
        </w:rPr>
      </w:pPr>
    </w:p>
    <w:p w14:paraId="659CA2E1" w14:textId="33B1FEAE" w:rsidR="00C47E19" w:rsidRDefault="00C47E19" w:rsidP="00E43A20">
      <w:pPr>
        <w:shd w:val="clear" w:color="auto" w:fill="FFFFFF"/>
        <w:textAlignment w:val="baseline"/>
        <w:rPr>
          <w:rFonts w:cs="HelveticaNeue-Light"/>
          <w:sz w:val="20"/>
          <w:szCs w:val="20"/>
        </w:rPr>
      </w:pPr>
      <w:r>
        <w:rPr>
          <w:rFonts w:cs="HelveticaNeue-Light"/>
          <w:sz w:val="20"/>
          <w:szCs w:val="20"/>
        </w:rPr>
        <w:br w:type="page"/>
      </w:r>
    </w:p>
    <w:p w14:paraId="2FFF70E3" w14:textId="12ADB7F0" w:rsidR="00AE7D30" w:rsidRPr="00346DCA" w:rsidRDefault="0063437E" w:rsidP="00C47E19">
      <w:pPr>
        <w:pStyle w:val="DKM1"/>
        <w:jc w:val="left"/>
      </w:pPr>
      <w:bookmarkStart w:id="44" w:name="_Toc476216235"/>
      <w:bookmarkStart w:id="45" w:name="_Toc478116698"/>
      <w:r>
        <w:t>Other</w:t>
      </w:r>
      <w:r w:rsidR="00AE7D30" w:rsidRPr="00346DCA">
        <w:t xml:space="preserve"> Sources of Funding for Public Infrastructure</w:t>
      </w:r>
      <w:bookmarkEnd w:id="44"/>
      <w:bookmarkEnd w:id="45"/>
    </w:p>
    <w:p w14:paraId="759A8ED3" w14:textId="77777777" w:rsidR="00AE7D30" w:rsidRPr="007866CB" w:rsidRDefault="00AE7D30" w:rsidP="007866CB">
      <w:pPr>
        <w:pStyle w:val="DKMBodyText"/>
        <w:rPr>
          <w:rFonts w:asciiTheme="minorHAnsi" w:hAnsiTheme="minorHAnsi"/>
          <w:sz w:val="20"/>
          <w:szCs w:val="20"/>
        </w:rPr>
      </w:pPr>
      <w:r w:rsidRPr="007866CB">
        <w:rPr>
          <w:rFonts w:asciiTheme="minorHAnsi" w:hAnsiTheme="minorHAnsi"/>
          <w:sz w:val="20"/>
          <w:szCs w:val="20"/>
        </w:rPr>
        <w:t xml:space="preserve">Alternative sources of funding are available to the Government to increase capital investment. These include securing financing for project via the European Investment Bank, the Irish Strategic Investment Fund, and utilising capital receipts. </w:t>
      </w:r>
    </w:p>
    <w:p w14:paraId="7D5CC36C" w14:textId="77777777" w:rsidR="00AE7D30" w:rsidRPr="007866CB" w:rsidRDefault="00AE7D30" w:rsidP="00C47E19">
      <w:pPr>
        <w:pStyle w:val="DKM2"/>
      </w:pPr>
      <w:bookmarkStart w:id="46" w:name="_Toc478116699"/>
      <w:r w:rsidRPr="007866CB">
        <w:t>European Investment Bank (EIB)</w:t>
      </w:r>
      <w:bookmarkEnd w:id="46"/>
    </w:p>
    <w:p w14:paraId="493293E1" w14:textId="77777777" w:rsidR="00DA63D1" w:rsidRDefault="007917B7" w:rsidP="007917B7">
      <w:pPr>
        <w:pStyle w:val="DKMBodyText"/>
        <w:rPr>
          <w:sz w:val="20"/>
          <w:szCs w:val="20"/>
        </w:rPr>
      </w:pPr>
      <w:r w:rsidRPr="007917B7">
        <w:rPr>
          <w:sz w:val="20"/>
          <w:szCs w:val="20"/>
        </w:rPr>
        <w:t xml:space="preserve">Lending to infrastructure projects </w:t>
      </w:r>
      <w:r>
        <w:rPr>
          <w:sz w:val="20"/>
          <w:szCs w:val="20"/>
        </w:rPr>
        <w:t>is a</w:t>
      </w:r>
      <w:r w:rsidRPr="007917B7">
        <w:rPr>
          <w:sz w:val="20"/>
          <w:szCs w:val="20"/>
        </w:rPr>
        <w:t xml:space="preserve"> cornerstone of the EIB’s lending objectives. In 2015, the EIB lent EUR 19.1 billion for infrastructure projects with another EUR 19.6 billion for Environment projects, many of which have infrastructure components. The EIB is active across the spectrum of infrastructure providing financing for viable projects in Transport, Energy, Water, Health, Education and Urban sectors. </w:t>
      </w:r>
      <w:r w:rsidR="00DA63D1">
        <w:rPr>
          <w:sz w:val="20"/>
          <w:szCs w:val="20"/>
        </w:rPr>
        <w:t>The Bank</w:t>
      </w:r>
      <w:r w:rsidRPr="007917B7">
        <w:rPr>
          <w:sz w:val="20"/>
          <w:szCs w:val="20"/>
        </w:rPr>
        <w:t xml:space="preserve"> is the world’s largest lender for water investment worldwide and the largest lender for renewable energy investment globally. </w:t>
      </w:r>
    </w:p>
    <w:p w14:paraId="2CEDC96D" w14:textId="607AE3CD" w:rsidR="006137E5" w:rsidRPr="00346DCA" w:rsidRDefault="006137E5" w:rsidP="006137E5">
      <w:pPr>
        <w:pStyle w:val="DKMTable"/>
        <w:spacing w:line="276" w:lineRule="auto"/>
      </w:pPr>
      <w:bookmarkStart w:id="47" w:name="_Toc478116727"/>
      <w:r w:rsidRPr="00346DCA">
        <w:t>EIB Projects: Number &amp; Value</w:t>
      </w:r>
      <w:r>
        <w:t xml:space="preserve"> in Ireland</w:t>
      </w:r>
      <w:r w:rsidRPr="00346DCA">
        <w:t>, 2012-2016</w:t>
      </w:r>
      <w:bookmarkEnd w:id="47"/>
    </w:p>
    <w:tbl>
      <w:tblPr>
        <w:tblStyle w:val="ColorfulList-Accent1"/>
        <w:tblW w:w="7300" w:type="dxa"/>
        <w:tblLook w:val="04A0" w:firstRow="1" w:lastRow="0" w:firstColumn="1" w:lastColumn="0" w:noHBand="0" w:noVBand="1"/>
      </w:tblPr>
      <w:tblGrid>
        <w:gridCol w:w="1838"/>
        <w:gridCol w:w="1985"/>
        <w:gridCol w:w="1559"/>
        <w:gridCol w:w="1918"/>
      </w:tblGrid>
      <w:tr w:rsidR="006137E5" w:rsidRPr="00346DCA" w14:paraId="691AA807" w14:textId="77777777" w:rsidTr="006137E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9553436" w14:textId="77777777" w:rsidR="006137E5" w:rsidRPr="00346DCA" w:rsidRDefault="006137E5" w:rsidP="006137E5">
            <w:pPr>
              <w:spacing w:line="276" w:lineRule="auto"/>
              <w:jc w:val="left"/>
              <w:rPr>
                <w:rFonts w:eastAsia="Times New Roman" w:cs="Arial"/>
                <w:color w:val="FFFFFF"/>
                <w:sz w:val="18"/>
                <w:szCs w:val="20"/>
              </w:rPr>
            </w:pPr>
            <w:r w:rsidRPr="00346DCA">
              <w:rPr>
                <w:rFonts w:eastAsia="Times New Roman" w:cs="Arial"/>
                <w:bCs w:val="0"/>
                <w:color w:val="FFFFFF"/>
                <w:sz w:val="18"/>
                <w:szCs w:val="20"/>
              </w:rPr>
              <w:t>Year</w:t>
            </w:r>
          </w:p>
        </w:tc>
        <w:tc>
          <w:tcPr>
            <w:tcW w:w="1985" w:type="dxa"/>
            <w:noWrap/>
            <w:hideMark/>
          </w:tcPr>
          <w:p w14:paraId="14C0DEC0" w14:textId="77777777" w:rsidR="006137E5" w:rsidRPr="00346DCA" w:rsidRDefault="006137E5" w:rsidP="006137E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20"/>
              </w:rPr>
            </w:pPr>
            <w:r w:rsidRPr="00346DCA">
              <w:rPr>
                <w:rFonts w:eastAsia="Times New Roman" w:cs="Arial"/>
                <w:color w:val="FFFFFF"/>
                <w:sz w:val="18"/>
                <w:szCs w:val="20"/>
              </w:rPr>
              <w:t>Total Value of Loans (€m)</w:t>
            </w:r>
          </w:p>
        </w:tc>
        <w:tc>
          <w:tcPr>
            <w:tcW w:w="1559" w:type="dxa"/>
            <w:noWrap/>
            <w:hideMark/>
          </w:tcPr>
          <w:p w14:paraId="462E2B24" w14:textId="77777777" w:rsidR="006137E5" w:rsidRPr="00346DCA" w:rsidRDefault="006137E5" w:rsidP="006137E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20"/>
              </w:rPr>
            </w:pPr>
            <w:r w:rsidRPr="00346DCA">
              <w:rPr>
                <w:rFonts w:eastAsia="Times New Roman" w:cs="Arial"/>
                <w:color w:val="FFFFFF"/>
                <w:sz w:val="18"/>
                <w:szCs w:val="20"/>
              </w:rPr>
              <w:t>Number of Projects</w:t>
            </w:r>
          </w:p>
        </w:tc>
        <w:tc>
          <w:tcPr>
            <w:tcW w:w="1918" w:type="dxa"/>
            <w:noWrap/>
            <w:hideMark/>
          </w:tcPr>
          <w:p w14:paraId="7439D12D" w14:textId="77777777" w:rsidR="006137E5" w:rsidRPr="00346DCA" w:rsidRDefault="006137E5" w:rsidP="006137E5">
            <w:pPr>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20"/>
              </w:rPr>
            </w:pPr>
            <w:r w:rsidRPr="00346DCA">
              <w:rPr>
                <w:rFonts w:eastAsia="Times New Roman" w:cs="Arial"/>
                <w:color w:val="FFFFFF"/>
                <w:sz w:val="18"/>
                <w:szCs w:val="20"/>
              </w:rPr>
              <w:t>Average Loan Value (€)</w:t>
            </w:r>
          </w:p>
        </w:tc>
      </w:tr>
      <w:tr w:rsidR="006137E5" w:rsidRPr="00346DCA" w14:paraId="5D1809F0" w14:textId="77777777" w:rsidTr="006137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noWrap/>
          </w:tcPr>
          <w:p w14:paraId="3EACF7F9" w14:textId="77777777" w:rsidR="006137E5" w:rsidRPr="00346DCA" w:rsidRDefault="006137E5" w:rsidP="006137E5">
            <w:pPr>
              <w:spacing w:line="276" w:lineRule="auto"/>
              <w:jc w:val="left"/>
              <w:rPr>
                <w:rFonts w:eastAsia="Times New Roman" w:cs="Arial"/>
                <w:color w:val="000000"/>
                <w:sz w:val="18"/>
                <w:szCs w:val="20"/>
              </w:rPr>
            </w:pPr>
            <w:r w:rsidRPr="00346DCA">
              <w:rPr>
                <w:rFonts w:eastAsia="Times New Roman" w:cs="Arial"/>
                <w:color w:val="000000"/>
                <w:sz w:val="18"/>
                <w:szCs w:val="20"/>
              </w:rPr>
              <w:t>2012</w:t>
            </w:r>
          </w:p>
        </w:tc>
        <w:tc>
          <w:tcPr>
            <w:tcW w:w="1985" w:type="dxa"/>
            <w:noWrap/>
          </w:tcPr>
          <w:p w14:paraId="0CB1E6B9" w14:textId="77777777" w:rsidR="006137E5" w:rsidRPr="00346DCA" w:rsidRDefault="006137E5" w:rsidP="006137E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505</w:t>
            </w:r>
          </w:p>
        </w:tc>
        <w:tc>
          <w:tcPr>
            <w:tcW w:w="1559" w:type="dxa"/>
            <w:noWrap/>
          </w:tcPr>
          <w:p w14:paraId="1FED03D4" w14:textId="77777777" w:rsidR="006137E5" w:rsidRPr="00346DCA" w:rsidRDefault="006137E5" w:rsidP="006137E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5</w:t>
            </w:r>
          </w:p>
        </w:tc>
        <w:tc>
          <w:tcPr>
            <w:tcW w:w="1918" w:type="dxa"/>
            <w:noWrap/>
          </w:tcPr>
          <w:p w14:paraId="62B88D77" w14:textId="77777777" w:rsidR="006137E5" w:rsidRPr="00346DCA" w:rsidRDefault="006137E5" w:rsidP="006137E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101</w:t>
            </w:r>
          </w:p>
        </w:tc>
      </w:tr>
      <w:tr w:rsidR="006137E5" w:rsidRPr="00346DCA" w14:paraId="2BFB9146" w14:textId="77777777" w:rsidTr="006137E5">
        <w:trPr>
          <w:trHeight w:val="28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E4211C1" w14:textId="77777777" w:rsidR="006137E5" w:rsidRPr="00346DCA" w:rsidRDefault="006137E5" w:rsidP="006137E5">
            <w:pPr>
              <w:spacing w:line="276" w:lineRule="auto"/>
              <w:jc w:val="left"/>
              <w:rPr>
                <w:rFonts w:eastAsia="Times New Roman" w:cs="Arial"/>
                <w:color w:val="000000"/>
                <w:sz w:val="18"/>
                <w:szCs w:val="20"/>
              </w:rPr>
            </w:pPr>
            <w:r w:rsidRPr="00346DCA">
              <w:rPr>
                <w:rFonts w:eastAsia="Times New Roman" w:cs="Arial"/>
                <w:color w:val="000000"/>
                <w:sz w:val="18"/>
                <w:szCs w:val="20"/>
              </w:rPr>
              <w:t>2013</w:t>
            </w:r>
          </w:p>
        </w:tc>
        <w:tc>
          <w:tcPr>
            <w:tcW w:w="1985" w:type="dxa"/>
            <w:noWrap/>
            <w:hideMark/>
          </w:tcPr>
          <w:p w14:paraId="47B00396" w14:textId="77777777" w:rsidR="006137E5" w:rsidRPr="00346DCA" w:rsidRDefault="006137E5" w:rsidP="006137E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680</w:t>
            </w:r>
          </w:p>
        </w:tc>
        <w:tc>
          <w:tcPr>
            <w:tcW w:w="1559" w:type="dxa"/>
            <w:noWrap/>
            <w:hideMark/>
          </w:tcPr>
          <w:p w14:paraId="46866FAD" w14:textId="77777777" w:rsidR="006137E5" w:rsidRPr="00346DCA" w:rsidRDefault="006137E5" w:rsidP="006137E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7</w:t>
            </w:r>
          </w:p>
        </w:tc>
        <w:tc>
          <w:tcPr>
            <w:tcW w:w="1918" w:type="dxa"/>
            <w:noWrap/>
            <w:hideMark/>
          </w:tcPr>
          <w:p w14:paraId="2E77260D" w14:textId="77777777" w:rsidR="006137E5" w:rsidRPr="00346DCA" w:rsidRDefault="006137E5" w:rsidP="006137E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97</w:t>
            </w:r>
          </w:p>
        </w:tc>
      </w:tr>
      <w:tr w:rsidR="006137E5" w:rsidRPr="00346DCA" w14:paraId="5569CDCF" w14:textId="77777777" w:rsidTr="006137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D00E805" w14:textId="77777777" w:rsidR="006137E5" w:rsidRPr="00346DCA" w:rsidRDefault="006137E5" w:rsidP="006137E5">
            <w:pPr>
              <w:spacing w:line="276" w:lineRule="auto"/>
              <w:jc w:val="left"/>
              <w:rPr>
                <w:rFonts w:eastAsia="Times New Roman" w:cs="Arial"/>
                <w:color w:val="000000"/>
                <w:sz w:val="18"/>
                <w:szCs w:val="20"/>
              </w:rPr>
            </w:pPr>
            <w:r w:rsidRPr="00346DCA">
              <w:rPr>
                <w:rFonts w:eastAsia="Times New Roman" w:cs="Arial"/>
                <w:color w:val="000000"/>
                <w:sz w:val="18"/>
                <w:szCs w:val="20"/>
              </w:rPr>
              <w:t>2014</w:t>
            </w:r>
          </w:p>
        </w:tc>
        <w:tc>
          <w:tcPr>
            <w:tcW w:w="1985" w:type="dxa"/>
            <w:noWrap/>
            <w:hideMark/>
          </w:tcPr>
          <w:p w14:paraId="56D1ED7E" w14:textId="77777777" w:rsidR="006137E5" w:rsidRPr="00346DCA" w:rsidRDefault="006137E5" w:rsidP="006137E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932</w:t>
            </w:r>
          </w:p>
        </w:tc>
        <w:tc>
          <w:tcPr>
            <w:tcW w:w="1559" w:type="dxa"/>
            <w:noWrap/>
            <w:hideMark/>
          </w:tcPr>
          <w:p w14:paraId="4E90E758" w14:textId="77777777" w:rsidR="006137E5" w:rsidRPr="00346DCA" w:rsidRDefault="006137E5" w:rsidP="006137E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8</w:t>
            </w:r>
          </w:p>
        </w:tc>
        <w:tc>
          <w:tcPr>
            <w:tcW w:w="1918" w:type="dxa"/>
            <w:noWrap/>
            <w:hideMark/>
          </w:tcPr>
          <w:p w14:paraId="2807FC61" w14:textId="77777777" w:rsidR="006137E5" w:rsidRPr="00346DCA" w:rsidRDefault="006137E5" w:rsidP="006137E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116</w:t>
            </w:r>
          </w:p>
        </w:tc>
      </w:tr>
      <w:tr w:rsidR="006137E5" w:rsidRPr="00346DCA" w14:paraId="3E3CF010" w14:textId="77777777" w:rsidTr="006137E5">
        <w:trPr>
          <w:trHeight w:val="28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7095D5B" w14:textId="77777777" w:rsidR="006137E5" w:rsidRPr="00346DCA" w:rsidRDefault="006137E5" w:rsidP="006137E5">
            <w:pPr>
              <w:spacing w:line="276" w:lineRule="auto"/>
              <w:jc w:val="left"/>
              <w:rPr>
                <w:rFonts w:eastAsia="Times New Roman" w:cs="Arial"/>
                <w:color w:val="000000"/>
                <w:sz w:val="18"/>
                <w:szCs w:val="20"/>
              </w:rPr>
            </w:pPr>
            <w:r w:rsidRPr="00346DCA">
              <w:rPr>
                <w:rFonts w:eastAsia="Times New Roman" w:cs="Arial"/>
                <w:color w:val="000000"/>
                <w:sz w:val="18"/>
                <w:szCs w:val="20"/>
              </w:rPr>
              <w:t>2015</w:t>
            </w:r>
          </w:p>
        </w:tc>
        <w:tc>
          <w:tcPr>
            <w:tcW w:w="1985" w:type="dxa"/>
            <w:noWrap/>
            <w:hideMark/>
          </w:tcPr>
          <w:p w14:paraId="1D4F6020" w14:textId="77777777" w:rsidR="006137E5" w:rsidRPr="00346DCA" w:rsidRDefault="006137E5" w:rsidP="006137E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755</w:t>
            </w:r>
          </w:p>
        </w:tc>
        <w:tc>
          <w:tcPr>
            <w:tcW w:w="1559" w:type="dxa"/>
            <w:noWrap/>
            <w:hideMark/>
          </w:tcPr>
          <w:p w14:paraId="09276CF7" w14:textId="77777777" w:rsidR="006137E5" w:rsidRPr="00346DCA" w:rsidRDefault="006137E5" w:rsidP="006137E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6</w:t>
            </w:r>
          </w:p>
        </w:tc>
        <w:tc>
          <w:tcPr>
            <w:tcW w:w="1918" w:type="dxa"/>
            <w:noWrap/>
            <w:hideMark/>
          </w:tcPr>
          <w:p w14:paraId="488C0231" w14:textId="77777777" w:rsidR="006137E5" w:rsidRPr="00346DCA" w:rsidRDefault="006137E5" w:rsidP="006137E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126</w:t>
            </w:r>
          </w:p>
        </w:tc>
      </w:tr>
      <w:tr w:rsidR="006137E5" w:rsidRPr="00346DCA" w14:paraId="35D7F750" w14:textId="77777777" w:rsidTr="006137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2D25C9F" w14:textId="77777777" w:rsidR="006137E5" w:rsidRPr="00346DCA" w:rsidRDefault="006137E5" w:rsidP="006137E5">
            <w:pPr>
              <w:spacing w:line="276" w:lineRule="auto"/>
              <w:jc w:val="left"/>
              <w:rPr>
                <w:rFonts w:eastAsia="Times New Roman" w:cs="Arial"/>
                <w:color w:val="000000"/>
                <w:sz w:val="18"/>
                <w:szCs w:val="20"/>
              </w:rPr>
            </w:pPr>
            <w:r w:rsidRPr="00346DCA">
              <w:rPr>
                <w:rFonts w:eastAsia="Times New Roman" w:cs="Arial"/>
                <w:color w:val="000000"/>
                <w:sz w:val="18"/>
                <w:szCs w:val="20"/>
              </w:rPr>
              <w:t>2016</w:t>
            </w:r>
          </w:p>
        </w:tc>
        <w:tc>
          <w:tcPr>
            <w:tcW w:w="1985" w:type="dxa"/>
            <w:noWrap/>
            <w:hideMark/>
          </w:tcPr>
          <w:p w14:paraId="1B380C31" w14:textId="77777777" w:rsidR="006137E5" w:rsidRPr="00346DCA" w:rsidRDefault="006137E5" w:rsidP="006137E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825</w:t>
            </w:r>
          </w:p>
        </w:tc>
        <w:tc>
          <w:tcPr>
            <w:tcW w:w="1559" w:type="dxa"/>
            <w:noWrap/>
            <w:hideMark/>
          </w:tcPr>
          <w:p w14:paraId="503871C4" w14:textId="77777777" w:rsidR="006137E5" w:rsidRPr="00346DCA" w:rsidRDefault="006137E5" w:rsidP="006137E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13</w:t>
            </w:r>
          </w:p>
        </w:tc>
        <w:tc>
          <w:tcPr>
            <w:tcW w:w="1918" w:type="dxa"/>
            <w:noWrap/>
            <w:hideMark/>
          </w:tcPr>
          <w:p w14:paraId="20714E5D" w14:textId="77777777" w:rsidR="006137E5" w:rsidRPr="00346DCA" w:rsidRDefault="006137E5" w:rsidP="006137E5">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rPr>
            </w:pPr>
            <w:r w:rsidRPr="00346DCA">
              <w:rPr>
                <w:rFonts w:eastAsia="Times New Roman" w:cs="Arial"/>
                <w:color w:val="000000"/>
                <w:sz w:val="18"/>
                <w:szCs w:val="20"/>
              </w:rPr>
              <w:t>63</w:t>
            </w:r>
          </w:p>
        </w:tc>
      </w:tr>
      <w:tr w:rsidR="00C47E19" w:rsidRPr="00C47E19" w14:paraId="15B7EED0" w14:textId="77777777" w:rsidTr="006137E5">
        <w:trPr>
          <w:trHeight w:val="283"/>
        </w:trPr>
        <w:tc>
          <w:tcPr>
            <w:cnfStyle w:val="001000000000" w:firstRow="0" w:lastRow="0" w:firstColumn="1" w:lastColumn="0" w:oddVBand="0" w:evenVBand="0" w:oddHBand="0" w:evenHBand="0" w:firstRowFirstColumn="0" w:firstRowLastColumn="0" w:lastRowFirstColumn="0" w:lastRowLastColumn="0"/>
            <w:tcW w:w="1838" w:type="dxa"/>
            <w:noWrap/>
          </w:tcPr>
          <w:p w14:paraId="4F6CB5DA" w14:textId="4C51551D" w:rsidR="00C47E19" w:rsidRPr="00C47E19" w:rsidRDefault="00C47E19" w:rsidP="006137E5">
            <w:pPr>
              <w:spacing w:line="276" w:lineRule="auto"/>
              <w:jc w:val="left"/>
              <w:rPr>
                <w:rFonts w:eastAsia="Times New Roman" w:cs="Arial"/>
                <w:b/>
                <w:color w:val="000000"/>
                <w:sz w:val="18"/>
                <w:szCs w:val="20"/>
              </w:rPr>
            </w:pPr>
            <w:r w:rsidRPr="00C47E19">
              <w:rPr>
                <w:rFonts w:eastAsia="Times New Roman" w:cs="Arial"/>
                <w:b/>
                <w:color w:val="000000"/>
                <w:sz w:val="18"/>
                <w:szCs w:val="20"/>
              </w:rPr>
              <w:t>2012-2016</w:t>
            </w:r>
          </w:p>
        </w:tc>
        <w:tc>
          <w:tcPr>
            <w:tcW w:w="1985" w:type="dxa"/>
            <w:noWrap/>
          </w:tcPr>
          <w:p w14:paraId="18895C97" w14:textId="4186983D" w:rsidR="00C47E19" w:rsidRPr="00C47E19" w:rsidRDefault="00C47E19" w:rsidP="006137E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20"/>
              </w:rPr>
            </w:pPr>
            <w:r>
              <w:rPr>
                <w:rFonts w:eastAsia="Times New Roman" w:cs="Arial"/>
                <w:b/>
                <w:color w:val="000000"/>
                <w:sz w:val="18"/>
                <w:szCs w:val="20"/>
              </w:rPr>
              <w:t>3,697</w:t>
            </w:r>
          </w:p>
        </w:tc>
        <w:tc>
          <w:tcPr>
            <w:tcW w:w="1559" w:type="dxa"/>
            <w:noWrap/>
          </w:tcPr>
          <w:p w14:paraId="68B1D203" w14:textId="638B2703" w:rsidR="00C47E19" w:rsidRPr="00C47E19" w:rsidRDefault="00C47E19" w:rsidP="006137E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20"/>
              </w:rPr>
            </w:pPr>
            <w:r>
              <w:rPr>
                <w:rFonts w:eastAsia="Times New Roman" w:cs="Arial"/>
                <w:b/>
                <w:color w:val="000000"/>
                <w:sz w:val="18"/>
                <w:szCs w:val="20"/>
              </w:rPr>
              <w:t>39</w:t>
            </w:r>
          </w:p>
        </w:tc>
        <w:tc>
          <w:tcPr>
            <w:tcW w:w="1918" w:type="dxa"/>
            <w:noWrap/>
          </w:tcPr>
          <w:p w14:paraId="08D2B009" w14:textId="6C648989" w:rsidR="00C47E19" w:rsidRPr="00C47E19" w:rsidRDefault="00C47E19" w:rsidP="006137E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20"/>
              </w:rPr>
            </w:pPr>
            <w:r>
              <w:rPr>
                <w:rFonts w:eastAsia="Times New Roman" w:cs="Arial"/>
                <w:b/>
                <w:color w:val="000000"/>
                <w:sz w:val="18"/>
                <w:szCs w:val="20"/>
              </w:rPr>
              <w:t>95</w:t>
            </w:r>
          </w:p>
        </w:tc>
      </w:tr>
    </w:tbl>
    <w:p w14:paraId="39379460" w14:textId="77777777" w:rsidR="006137E5" w:rsidRPr="00E43A20" w:rsidRDefault="006137E5" w:rsidP="006137E5">
      <w:pPr>
        <w:pStyle w:val="DKMBodyText"/>
        <w:spacing w:line="276" w:lineRule="auto"/>
        <w:rPr>
          <w:rFonts w:asciiTheme="minorHAnsi" w:hAnsiTheme="minorHAnsi"/>
          <w:sz w:val="18"/>
          <w:szCs w:val="18"/>
        </w:rPr>
      </w:pPr>
      <w:r w:rsidRPr="00E43A20">
        <w:rPr>
          <w:rFonts w:asciiTheme="minorHAnsi" w:hAnsiTheme="minorHAnsi"/>
          <w:sz w:val="18"/>
          <w:szCs w:val="18"/>
        </w:rPr>
        <w:t>Source: EIB</w:t>
      </w:r>
      <w:r>
        <w:rPr>
          <w:rFonts w:asciiTheme="minorHAnsi" w:hAnsiTheme="minorHAnsi"/>
          <w:sz w:val="18"/>
          <w:szCs w:val="18"/>
        </w:rPr>
        <w:t>.</w:t>
      </w:r>
    </w:p>
    <w:p w14:paraId="2443F853" w14:textId="77777777" w:rsidR="006137E5" w:rsidRPr="00346DCA" w:rsidRDefault="006137E5" w:rsidP="006137E5">
      <w:pPr>
        <w:pStyle w:val="DKMBodyText"/>
        <w:spacing w:line="276" w:lineRule="auto"/>
        <w:rPr>
          <w:rFonts w:asciiTheme="minorHAnsi" w:hAnsiTheme="minorHAnsi"/>
        </w:rPr>
      </w:pPr>
    </w:p>
    <w:p w14:paraId="5E9A4CA3" w14:textId="3AB3A09B" w:rsidR="006137E5" w:rsidRDefault="006137E5" w:rsidP="006137E5">
      <w:pPr>
        <w:pStyle w:val="DKMBodyText"/>
        <w:rPr>
          <w:rFonts w:asciiTheme="minorHAnsi" w:hAnsiTheme="minorHAnsi"/>
          <w:sz w:val="20"/>
          <w:szCs w:val="20"/>
        </w:rPr>
      </w:pPr>
      <w:r>
        <w:rPr>
          <w:rFonts w:asciiTheme="minorHAnsi" w:hAnsiTheme="minorHAnsi"/>
          <w:sz w:val="20"/>
          <w:szCs w:val="20"/>
        </w:rPr>
        <w:t>A total of €3.7</w:t>
      </w:r>
      <w:r w:rsidR="00C47E19">
        <w:rPr>
          <w:rFonts w:asciiTheme="minorHAnsi" w:hAnsiTheme="minorHAnsi"/>
          <w:sz w:val="20"/>
          <w:szCs w:val="20"/>
        </w:rPr>
        <w:t xml:space="preserve"> billion</w:t>
      </w:r>
      <w:r>
        <w:rPr>
          <w:rFonts w:asciiTheme="minorHAnsi" w:hAnsiTheme="minorHAnsi"/>
          <w:sz w:val="20"/>
          <w:szCs w:val="20"/>
        </w:rPr>
        <w:t xml:space="preserve"> in loans was provided to Ireland over the period 2012-2016.  </w:t>
      </w:r>
      <w:r w:rsidRPr="00E43A20">
        <w:rPr>
          <w:rFonts w:asciiTheme="minorHAnsi" w:hAnsiTheme="minorHAnsi"/>
          <w:sz w:val="20"/>
          <w:szCs w:val="20"/>
        </w:rPr>
        <w:t xml:space="preserve">The average value of EIB loans made in Ireland halved between 2015 and 2016, whilst the number of projects supported more than doubled. This suggests that the EIB agreed to fund a larger number of lower value projects in 2016. </w:t>
      </w:r>
    </w:p>
    <w:p w14:paraId="639057C0" w14:textId="77777777" w:rsidR="00DA63D1" w:rsidRDefault="00DA63D1" w:rsidP="007917B7">
      <w:pPr>
        <w:pStyle w:val="DKMBodyText"/>
        <w:rPr>
          <w:sz w:val="20"/>
          <w:szCs w:val="20"/>
        </w:rPr>
      </w:pPr>
    </w:p>
    <w:p w14:paraId="6E7BBD54" w14:textId="6ACB70C5" w:rsidR="00AE7D30" w:rsidRDefault="00AE7D30" w:rsidP="006137E5">
      <w:pPr>
        <w:pStyle w:val="DKMBodyText"/>
        <w:rPr>
          <w:rFonts w:asciiTheme="minorHAnsi" w:hAnsiTheme="minorHAnsi"/>
          <w:sz w:val="20"/>
          <w:szCs w:val="20"/>
        </w:rPr>
      </w:pPr>
      <w:r w:rsidRPr="00E43A20">
        <w:rPr>
          <w:rFonts w:asciiTheme="minorHAnsi" w:hAnsiTheme="minorHAnsi"/>
          <w:sz w:val="20"/>
          <w:szCs w:val="20"/>
        </w:rPr>
        <w:t xml:space="preserve">The investments cover a broad range of sectors and values. </w:t>
      </w:r>
      <w:r w:rsidR="00532D51">
        <w:rPr>
          <w:rFonts w:asciiTheme="minorHAnsi" w:hAnsiTheme="minorHAnsi"/>
          <w:sz w:val="20"/>
          <w:szCs w:val="20"/>
        </w:rPr>
        <w:t>A total of €350</w:t>
      </w:r>
      <w:r w:rsidR="00C47E19">
        <w:rPr>
          <w:rFonts w:asciiTheme="minorHAnsi" w:hAnsiTheme="minorHAnsi"/>
          <w:sz w:val="20"/>
          <w:szCs w:val="20"/>
        </w:rPr>
        <w:t xml:space="preserve"> million</w:t>
      </w:r>
      <w:r w:rsidR="00532D51">
        <w:rPr>
          <w:rFonts w:asciiTheme="minorHAnsi" w:hAnsiTheme="minorHAnsi"/>
          <w:sz w:val="20"/>
          <w:szCs w:val="20"/>
        </w:rPr>
        <w:t xml:space="preserve"> was provided to upgrade outdated buildings and build state of the art new education and research facilities at primary and post-primary schools and at third level institutions. </w:t>
      </w:r>
      <w:r w:rsidR="00F402BA">
        <w:rPr>
          <w:rFonts w:asciiTheme="minorHAnsi" w:hAnsiTheme="minorHAnsi"/>
          <w:sz w:val="20"/>
          <w:szCs w:val="20"/>
        </w:rPr>
        <w:t>The</w:t>
      </w:r>
      <w:r w:rsidR="00BA2601">
        <w:rPr>
          <w:rFonts w:asciiTheme="minorHAnsi" w:hAnsiTheme="minorHAnsi"/>
          <w:sz w:val="20"/>
          <w:szCs w:val="20"/>
        </w:rPr>
        <w:t xml:space="preserve"> investment also include</w:t>
      </w:r>
      <w:r w:rsidR="00C47E19">
        <w:rPr>
          <w:rFonts w:asciiTheme="minorHAnsi" w:hAnsiTheme="minorHAnsi"/>
          <w:sz w:val="20"/>
          <w:szCs w:val="20"/>
        </w:rPr>
        <w:t>d</w:t>
      </w:r>
      <w:r w:rsidR="00BA2601">
        <w:rPr>
          <w:rFonts w:asciiTheme="minorHAnsi" w:hAnsiTheme="minorHAnsi"/>
          <w:sz w:val="20"/>
          <w:szCs w:val="20"/>
        </w:rPr>
        <w:t xml:space="preserve"> the</w:t>
      </w:r>
      <w:r w:rsidR="00F402BA">
        <w:rPr>
          <w:rFonts w:asciiTheme="minorHAnsi" w:hAnsiTheme="minorHAnsi"/>
          <w:sz w:val="20"/>
          <w:szCs w:val="20"/>
        </w:rPr>
        <w:t xml:space="preserve"> N25 New Ross Bypass</w:t>
      </w:r>
      <w:r w:rsidR="00BA2601">
        <w:rPr>
          <w:rFonts w:asciiTheme="minorHAnsi" w:hAnsiTheme="minorHAnsi"/>
          <w:sz w:val="20"/>
          <w:szCs w:val="20"/>
        </w:rPr>
        <w:t>, which</w:t>
      </w:r>
      <w:r w:rsidR="00F402BA">
        <w:rPr>
          <w:rFonts w:asciiTheme="minorHAnsi" w:hAnsiTheme="minorHAnsi"/>
          <w:sz w:val="20"/>
          <w:szCs w:val="20"/>
        </w:rPr>
        <w:t xml:space="preserve"> was the first project in Ireland to </w:t>
      </w:r>
      <w:r w:rsidR="00532D51">
        <w:rPr>
          <w:rFonts w:asciiTheme="minorHAnsi" w:hAnsiTheme="minorHAnsi"/>
          <w:sz w:val="20"/>
          <w:szCs w:val="20"/>
        </w:rPr>
        <w:t>b</w:t>
      </w:r>
      <w:r w:rsidR="00F402BA">
        <w:rPr>
          <w:rFonts w:asciiTheme="minorHAnsi" w:hAnsiTheme="minorHAnsi"/>
          <w:sz w:val="20"/>
          <w:szCs w:val="20"/>
        </w:rPr>
        <w:t xml:space="preserve">e funded under the </w:t>
      </w:r>
      <w:r w:rsidR="00532D51">
        <w:rPr>
          <w:rFonts w:asciiTheme="minorHAnsi" w:hAnsiTheme="minorHAnsi"/>
          <w:sz w:val="20"/>
          <w:szCs w:val="20"/>
        </w:rPr>
        <w:t xml:space="preserve">Project Bond Credit Enhancement initiative intended to stimulate capital market financing for large scale infrastructure projects. </w:t>
      </w:r>
      <w:r w:rsidR="00BA2601">
        <w:rPr>
          <w:rFonts w:asciiTheme="minorHAnsi" w:hAnsiTheme="minorHAnsi"/>
          <w:sz w:val="20"/>
          <w:szCs w:val="20"/>
        </w:rPr>
        <w:t>Further opportunities to avail of this initiative for other large projects should be examined.</w:t>
      </w:r>
    </w:p>
    <w:p w14:paraId="3E4B164D" w14:textId="77777777" w:rsidR="00E83684" w:rsidRDefault="00E83684" w:rsidP="00E43A20">
      <w:pPr>
        <w:pStyle w:val="DKMBodyText"/>
        <w:rPr>
          <w:rFonts w:asciiTheme="minorHAnsi" w:hAnsiTheme="minorHAnsi"/>
          <w:sz w:val="20"/>
          <w:szCs w:val="20"/>
        </w:rPr>
      </w:pPr>
    </w:p>
    <w:p w14:paraId="3FDEB2AC" w14:textId="526B93FB" w:rsidR="00532D51" w:rsidRPr="00471C6D" w:rsidRDefault="00461A6B" w:rsidP="00471C6D">
      <w:pPr>
        <w:pStyle w:val="DKMBodyText"/>
        <w:rPr>
          <w:rFonts w:asciiTheme="minorHAnsi" w:hAnsiTheme="minorHAnsi"/>
          <w:i/>
          <w:sz w:val="20"/>
          <w:szCs w:val="20"/>
        </w:rPr>
      </w:pPr>
      <w:r w:rsidRPr="00471C6D">
        <w:rPr>
          <w:rFonts w:asciiTheme="minorHAnsi" w:hAnsiTheme="minorHAnsi"/>
          <w:sz w:val="20"/>
          <w:szCs w:val="20"/>
        </w:rPr>
        <w:t>Speaking in 2016, the Vice President of the EIB</w:t>
      </w:r>
      <w:r w:rsidR="00471C6D" w:rsidRPr="00471C6D">
        <w:rPr>
          <w:rFonts w:asciiTheme="minorHAnsi" w:hAnsiTheme="minorHAnsi"/>
          <w:sz w:val="20"/>
          <w:szCs w:val="20"/>
        </w:rPr>
        <w:t>, Mr. Andrew McDowell</w:t>
      </w:r>
      <w:r w:rsidRPr="00471C6D">
        <w:rPr>
          <w:rFonts w:asciiTheme="minorHAnsi" w:hAnsiTheme="minorHAnsi"/>
          <w:sz w:val="20"/>
          <w:szCs w:val="20"/>
        </w:rPr>
        <w:t xml:space="preserve"> said</w:t>
      </w:r>
      <w:r w:rsidR="00C47E19" w:rsidRPr="00471C6D">
        <w:rPr>
          <w:rFonts w:asciiTheme="minorHAnsi" w:hAnsiTheme="minorHAnsi"/>
          <w:sz w:val="20"/>
          <w:szCs w:val="20"/>
        </w:rPr>
        <w:t>:</w:t>
      </w:r>
      <w:r w:rsidR="00471C6D">
        <w:rPr>
          <w:rFonts w:asciiTheme="minorHAnsi" w:hAnsiTheme="minorHAnsi"/>
          <w:sz w:val="20"/>
          <w:szCs w:val="20"/>
        </w:rPr>
        <w:t xml:space="preserve"> </w:t>
      </w:r>
      <w:r w:rsidR="00922318" w:rsidRPr="00471C6D">
        <w:rPr>
          <w:rFonts w:asciiTheme="minorHAnsi" w:hAnsiTheme="minorHAnsi"/>
          <w:i/>
          <w:sz w:val="20"/>
          <w:szCs w:val="20"/>
        </w:rPr>
        <w:t>”Ireland is still not yet at the forefront of EU countries in deploying EIB financial instruments to support investment, particularly under the Investment Plan for Europe. Notwithstanding the evident infrastructure gaps and other pent-up investment requirements, total EIB exposure to Ireland remains, as a % of GDP, below the EU average. Our first term report would probably read “could do better”.</w:t>
      </w:r>
      <w:r w:rsidR="002658E7" w:rsidRPr="00471C6D">
        <w:rPr>
          <w:rFonts w:asciiTheme="minorHAnsi" w:hAnsiTheme="minorHAnsi"/>
          <w:i/>
          <w:sz w:val="20"/>
          <w:szCs w:val="20"/>
        </w:rPr>
        <w:t>”</w:t>
      </w:r>
      <w:r w:rsidR="00471C6D" w:rsidRPr="00471C6D">
        <w:rPr>
          <w:rFonts w:asciiTheme="minorHAnsi" w:hAnsiTheme="minorHAnsi"/>
          <w:sz w:val="20"/>
          <w:szCs w:val="20"/>
        </w:rPr>
        <w:t xml:space="preserve"> </w:t>
      </w:r>
      <w:r w:rsidR="00471C6D" w:rsidRPr="00471C6D">
        <w:rPr>
          <w:rStyle w:val="FootnoteReference"/>
          <w:rFonts w:asciiTheme="minorHAnsi" w:hAnsiTheme="minorHAnsi"/>
          <w:sz w:val="20"/>
          <w:szCs w:val="20"/>
        </w:rPr>
        <w:footnoteReference w:id="74"/>
      </w:r>
    </w:p>
    <w:p w14:paraId="6A4A1C58" w14:textId="77777777" w:rsidR="00C47E19" w:rsidRPr="00471C6D" w:rsidRDefault="00C47E19" w:rsidP="00471C6D">
      <w:pPr>
        <w:pStyle w:val="DKMBodyText"/>
        <w:rPr>
          <w:rFonts w:asciiTheme="minorHAnsi" w:hAnsiTheme="minorHAnsi"/>
          <w:i/>
          <w:sz w:val="20"/>
          <w:szCs w:val="20"/>
        </w:rPr>
      </w:pPr>
    </w:p>
    <w:p w14:paraId="425F6E9E" w14:textId="12A26DD7" w:rsidR="00901248" w:rsidRPr="00901248" w:rsidRDefault="00901248" w:rsidP="00E43A20">
      <w:pPr>
        <w:pStyle w:val="DKMBodyText"/>
        <w:rPr>
          <w:rFonts w:asciiTheme="minorHAnsi" w:hAnsiTheme="minorHAnsi"/>
          <w:sz w:val="20"/>
          <w:szCs w:val="20"/>
        </w:rPr>
      </w:pPr>
      <w:r w:rsidRPr="00901248">
        <w:rPr>
          <w:rFonts w:asciiTheme="minorHAnsi" w:hAnsiTheme="minorHAnsi"/>
          <w:sz w:val="20"/>
          <w:szCs w:val="20"/>
        </w:rPr>
        <w:t xml:space="preserve">With the EIB </w:t>
      </w:r>
      <w:r>
        <w:rPr>
          <w:rFonts w:asciiTheme="minorHAnsi" w:hAnsiTheme="minorHAnsi"/>
          <w:sz w:val="20"/>
          <w:szCs w:val="20"/>
        </w:rPr>
        <w:t xml:space="preserve">having opened </w:t>
      </w:r>
      <w:r w:rsidRPr="00901248">
        <w:rPr>
          <w:rFonts w:asciiTheme="minorHAnsi" w:hAnsiTheme="minorHAnsi"/>
          <w:sz w:val="20"/>
          <w:szCs w:val="20"/>
        </w:rPr>
        <w:t xml:space="preserve">an office in Dublin in 2016, </w:t>
      </w:r>
      <w:r>
        <w:rPr>
          <w:rFonts w:asciiTheme="minorHAnsi" w:hAnsiTheme="minorHAnsi"/>
          <w:sz w:val="20"/>
          <w:szCs w:val="20"/>
        </w:rPr>
        <w:t xml:space="preserve">the Irish </w:t>
      </w:r>
      <w:r w:rsidR="00D3300A">
        <w:rPr>
          <w:rFonts w:asciiTheme="minorHAnsi" w:hAnsiTheme="minorHAnsi"/>
          <w:sz w:val="20"/>
          <w:szCs w:val="20"/>
        </w:rPr>
        <w:t xml:space="preserve">public and private sectors </w:t>
      </w:r>
      <w:r w:rsidRPr="00901248">
        <w:rPr>
          <w:rFonts w:asciiTheme="minorHAnsi" w:hAnsiTheme="minorHAnsi"/>
          <w:sz w:val="20"/>
          <w:szCs w:val="20"/>
        </w:rPr>
        <w:t>need to</w:t>
      </w:r>
      <w:r>
        <w:rPr>
          <w:rFonts w:asciiTheme="minorHAnsi" w:hAnsiTheme="minorHAnsi"/>
          <w:sz w:val="20"/>
          <w:szCs w:val="20"/>
        </w:rPr>
        <w:t xml:space="preserve"> deepen their engagement with the Bank to </w:t>
      </w:r>
      <w:r w:rsidR="00D3300A">
        <w:rPr>
          <w:rFonts w:asciiTheme="minorHAnsi" w:hAnsiTheme="minorHAnsi"/>
          <w:sz w:val="20"/>
          <w:szCs w:val="20"/>
        </w:rPr>
        <w:t xml:space="preserve">gain a greater share of the enhanced lending volumes and risk capacity available to the EIB. </w:t>
      </w:r>
      <w:r w:rsidR="00C47270">
        <w:rPr>
          <w:rFonts w:asciiTheme="minorHAnsi" w:hAnsiTheme="minorHAnsi"/>
          <w:sz w:val="20"/>
          <w:szCs w:val="20"/>
        </w:rPr>
        <w:t>The EIB President has stated that they p</w:t>
      </w:r>
      <w:r w:rsidR="003D65CF">
        <w:rPr>
          <w:rFonts w:asciiTheme="minorHAnsi" w:hAnsiTheme="minorHAnsi"/>
          <w:sz w:val="20"/>
          <w:szCs w:val="20"/>
        </w:rPr>
        <w:t>lan</w:t>
      </w:r>
      <w:r w:rsidR="00C47270">
        <w:rPr>
          <w:rFonts w:asciiTheme="minorHAnsi" w:hAnsiTheme="minorHAnsi"/>
          <w:sz w:val="20"/>
          <w:szCs w:val="20"/>
        </w:rPr>
        <w:t xml:space="preserve"> to invest over €1 billion on various investment projects in Ireland in 2017.</w:t>
      </w:r>
      <w:r w:rsidR="00D3300A">
        <w:rPr>
          <w:rFonts w:asciiTheme="minorHAnsi" w:hAnsiTheme="minorHAnsi"/>
          <w:sz w:val="20"/>
          <w:szCs w:val="20"/>
        </w:rPr>
        <w:t xml:space="preserve"> </w:t>
      </w:r>
      <w:r w:rsidR="00764478">
        <w:rPr>
          <w:rStyle w:val="FootnoteReference"/>
          <w:rFonts w:asciiTheme="minorHAnsi" w:hAnsiTheme="minorHAnsi"/>
          <w:sz w:val="20"/>
          <w:szCs w:val="20"/>
        </w:rPr>
        <w:footnoteReference w:id="75"/>
      </w:r>
      <w:r w:rsidR="00D3300A">
        <w:rPr>
          <w:rFonts w:asciiTheme="minorHAnsi" w:hAnsiTheme="minorHAnsi"/>
          <w:sz w:val="20"/>
          <w:szCs w:val="20"/>
        </w:rPr>
        <w:t xml:space="preserve">     </w:t>
      </w:r>
    </w:p>
    <w:p w14:paraId="27BD7484" w14:textId="765D41BA" w:rsidR="00804C45" w:rsidRPr="00804C45" w:rsidRDefault="00804C45" w:rsidP="00471C6D">
      <w:pPr>
        <w:pStyle w:val="DKM2"/>
      </w:pPr>
      <w:bookmarkStart w:id="48" w:name="_Toc478116700"/>
      <w:r w:rsidRPr="00804C45">
        <w:t>Irish Strategic Investment Fund</w:t>
      </w:r>
      <w:r>
        <w:t xml:space="preserve"> (ISIF)</w:t>
      </w:r>
      <w:bookmarkEnd w:id="48"/>
    </w:p>
    <w:p w14:paraId="5A7A2143" w14:textId="2A2BC62B" w:rsidR="00FB4971" w:rsidRPr="00804C45" w:rsidRDefault="00FB4971" w:rsidP="00E43A20">
      <w:pPr>
        <w:pStyle w:val="DKMBodyText"/>
        <w:rPr>
          <w:rFonts w:asciiTheme="minorHAnsi" w:hAnsiTheme="minorHAnsi"/>
          <w:sz w:val="20"/>
          <w:szCs w:val="20"/>
        </w:rPr>
      </w:pPr>
      <w:r w:rsidRPr="003D65CF">
        <w:rPr>
          <w:sz w:val="20"/>
          <w:szCs w:val="20"/>
        </w:rPr>
        <w:t>A joint European Commission and European Investment Bank initiative, known as the Investment Plan for Europe</w:t>
      </w:r>
      <w:r w:rsidR="00E52359" w:rsidRPr="003D65CF">
        <w:rPr>
          <w:sz w:val="20"/>
          <w:szCs w:val="20"/>
        </w:rPr>
        <w:t xml:space="preserve"> [the </w:t>
      </w:r>
      <w:r w:rsidR="009E655C" w:rsidRPr="003D65CF">
        <w:rPr>
          <w:sz w:val="20"/>
          <w:szCs w:val="20"/>
        </w:rPr>
        <w:t>“</w:t>
      </w:r>
      <w:r w:rsidR="00E52359" w:rsidRPr="003D65CF">
        <w:rPr>
          <w:sz w:val="20"/>
          <w:szCs w:val="20"/>
        </w:rPr>
        <w:t>Juncker Plan”]</w:t>
      </w:r>
      <w:r w:rsidRPr="003D65CF">
        <w:rPr>
          <w:sz w:val="20"/>
          <w:szCs w:val="20"/>
        </w:rPr>
        <w:t xml:space="preserve">, was introduced in 2014 to </w:t>
      </w:r>
      <w:r w:rsidR="00F813D8" w:rsidRPr="003D65CF">
        <w:rPr>
          <w:sz w:val="20"/>
          <w:szCs w:val="20"/>
        </w:rPr>
        <w:t xml:space="preserve">encourage investment in the real economy in order to boost job creation and economic growth; meet the long-term needs of the economy and increase competitiveness;  and help strengthen </w:t>
      </w:r>
      <w:r w:rsidR="00F813D8" w:rsidRPr="00804C45">
        <w:rPr>
          <w:sz w:val="20"/>
          <w:szCs w:val="20"/>
        </w:rPr>
        <w:t xml:space="preserve">Europe’s productive capacity and infrastructure. </w:t>
      </w:r>
    </w:p>
    <w:p w14:paraId="1A5ADE69" w14:textId="77777777" w:rsidR="00FB4971" w:rsidRPr="00804C45" w:rsidRDefault="00FB4971" w:rsidP="00E43A20">
      <w:pPr>
        <w:pStyle w:val="DKMBodyText"/>
        <w:rPr>
          <w:rFonts w:asciiTheme="minorHAnsi" w:hAnsiTheme="minorHAnsi"/>
          <w:sz w:val="20"/>
          <w:szCs w:val="20"/>
        </w:rPr>
      </w:pPr>
    </w:p>
    <w:p w14:paraId="5D794873" w14:textId="78AD7A9A" w:rsidR="00532D51" w:rsidRPr="00804C45" w:rsidRDefault="00E52359" w:rsidP="00E43A20">
      <w:pPr>
        <w:pStyle w:val="DKMBodyText"/>
        <w:rPr>
          <w:rFonts w:asciiTheme="minorHAnsi" w:hAnsiTheme="minorHAnsi"/>
          <w:sz w:val="20"/>
          <w:szCs w:val="20"/>
        </w:rPr>
      </w:pPr>
      <w:r w:rsidRPr="00804C45">
        <w:rPr>
          <w:sz w:val="20"/>
          <w:szCs w:val="20"/>
        </w:rPr>
        <w:t xml:space="preserve">A </w:t>
      </w:r>
      <w:r w:rsidR="00C773B0" w:rsidRPr="00804C45">
        <w:rPr>
          <w:sz w:val="20"/>
          <w:szCs w:val="20"/>
        </w:rPr>
        <w:t xml:space="preserve">key </w:t>
      </w:r>
      <w:r w:rsidR="009E655C" w:rsidRPr="00804C45">
        <w:rPr>
          <w:sz w:val="20"/>
          <w:szCs w:val="20"/>
        </w:rPr>
        <w:t>driver of the Investment Plan</w:t>
      </w:r>
      <w:r w:rsidR="00C773B0" w:rsidRPr="00804C45">
        <w:rPr>
          <w:sz w:val="20"/>
          <w:szCs w:val="20"/>
        </w:rPr>
        <w:t xml:space="preserve"> is the European Fund for Strategic Investments (EFSI), which encourages investment in </w:t>
      </w:r>
      <w:r w:rsidR="00F813D8" w:rsidRPr="00804C45">
        <w:rPr>
          <w:sz w:val="20"/>
          <w:szCs w:val="20"/>
        </w:rPr>
        <w:t xml:space="preserve">key areas, including transport, broadband, energy, innovation, renewable energy and energy efficiency as well as SME financing. </w:t>
      </w:r>
      <w:r w:rsidR="00C773B0" w:rsidRPr="00804C45">
        <w:rPr>
          <w:sz w:val="20"/>
          <w:szCs w:val="20"/>
        </w:rPr>
        <w:t xml:space="preserve">By providing a total guarantee of </w:t>
      </w:r>
      <w:r w:rsidR="009E655C" w:rsidRPr="00804C45">
        <w:rPr>
          <w:sz w:val="20"/>
          <w:szCs w:val="20"/>
        </w:rPr>
        <w:t>€</w:t>
      </w:r>
      <w:r w:rsidR="00C773B0" w:rsidRPr="00804C45">
        <w:rPr>
          <w:sz w:val="20"/>
          <w:szCs w:val="20"/>
        </w:rPr>
        <w:t xml:space="preserve">21 billion for business and infrastructure projects, of which </w:t>
      </w:r>
      <w:r w:rsidR="009E655C" w:rsidRPr="00804C45">
        <w:rPr>
          <w:sz w:val="20"/>
          <w:szCs w:val="20"/>
        </w:rPr>
        <w:t>€</w:t>
      </w:r>
      <w:r w:rsidR="00C773B0" w:rsidRPr="00804C45">
        <w:rPr>
          <w:sz w:val="20"/>
          <w:szCs w:val="20"/>
        </w:rPr>
        <w:t xml:space="preserve">16 billion is from the EU budget and </w:t>
      </w:r>
      <w:r w:rsidR="009E655C" w:rsidRPr="00804C45">
        <w:rPr>
          <w:sz w:val="20"/>
          <w:szCs w:val="20"/>
        </w:rPr>
        <w:t>€</w:t>
      </w:r>
      <w:r w:rsidR="00C773B0" w:rsidRPr="00804C45">
        <w:rPr>
          <w:sz w:val="20"/>
          <w:szCs w:val="20"/>
        </w:rPr>
        <w:t xml:space="preserve">5 billion is from the European Investment Bank, the EFSI aims to unlock additional investment of at least </w:t>
      </w:r>
      <w:r w:rsidR="009E655C" w:rsidRPr="00804C45">
        <w:rPr>
          <w:sz w:val="20"/>
          <w:szCs w:val="20"/>
        </w:rPr>
        <w:t>€</w:t>
      </w:r>
      <w:r w:rsidR="00C773B0" w:rsidRPr="00804C45">
        <w:rPr>
          <w:sz w:val="20"/>
          <w:szCs w:val="20"/>
        </w:rPr>
        <w:t xml:space="preserve">315 billion over 3 years. </w:t>
      </w:r>
    </w:p>
    <w:p w14:paraId="42196544" w14:textId="77777777" w:rsidR="00C773B0" w:rsidRPr="00804C45" w:rsidRDefault="00C773B0" w:rsidP="00E43A20">
      <w:pPr>
        <w:pStyle w:val="DKMBodyText"/>
        <w:rPr>
          <w:rFonts w:asciiTheme="minorHAnsi" w:hAnsiTheme="minorHAnsi"/>
          <w:sz w:val="20"/>
          <w:szCs w:val="20"/>
        </w:rPr>
      </w:pPr>
    </w:p>
    <w:p w14:paraId="1FF3BBF6" w14:textId="77777777" w:rsidR="00AE7D30" w:rsidRPr="00804C45" w:rsidRDefault="00AE7D30" w:rsidP="00E43A20">
      <w:pPr>
        <w:pStyle w:val="DKMBodyText"/>
        <w:rPr>
          <w:rFonts w:asciiTheme="minorHAnsi" w:hAnsiTheme="minorHAnsi"/>
          <w:sz w:val="20"/>
          <w:szCs w:val="20"/>
        </w:rPr>
      </w:pPr>
      <w:r w:rsidRPr="00804C45">
        <w:rPr>
          <w:rFonts w:asciiTheme="minorHAnsi" w:hAnsiTheme="minorHAnsi"/>
          <w:sz w:val="20"/>
          <w:szCs w:val="20"/>
        </w:rPr>
        <w:t>The Irish Strategic Investment Fund was established in late 2014.</w:t>
      </w:r>
      <w:r w:rsidRPr="00804C45">
        <w:rPr>
          <w:rStyle w:val="FootnoteReference"/>
          <w:rFonts w:asciiTheme="minorHAnsi" w:hAnsiTheme="minorHAnsi"/>
          <w:sz w:val="20"/>
          <w:szCs w:val="20"/>
        </w:rPr>
        <w:footnoteReference w:id="76"/>
      </w:r>
      <w:r w:rsidRPr="00804C45">
        <w:rPr>
          <w:rFonts w:asciiTheme="minorHAnsi" w:hAnsiTheme="minorHAnsi"/>
          <w:sz w:val="20"/>
          <w:szCs w:val="20"/>
        </w:rPr>
        <w:t xml:space="preserve"> Its mandate includes:</w:t>
      </w:r>
    </w:p>
    <w:p w14:paraId="647E86E2" w14:textId="77777777" w:rsidR="00AE7D30" w:rsidRPr="00804C45" w:rsidRDefault="00AE7D30" w:rsidP="000373A6">
      <w:pPr>
        <w:pStyle w:val="DKMBodyText"/>
        <w:numPr>
          <w:ilvl w:val="0"/>
          <w:numId w:val="11"/>
        </w:numPr>
        <w:rPr>
          <w:rFonts w:asciiTheme="minorHAnsi" w:hAnsiTheme="minorHAnsi"/>
          <w:sz w:val="20"/>
          <w:szCs w:val="20"/>
        </w:rPr>
      </w:pPr>
      <w:r w:rsidRPr="00804C45">
        <w:rPr>
          <w:rFonts w:asciiTheme="minorHAnsi" w:hAnsiTheme="minorHAnsi"/>
          <w:sz w:val="20"/>
          <w:szCs w:val="20"/>
        </w:rPr>
        <w:t>Investment performance should exceed average cost of Government debt;</w:t>
      </w:r>
    </w:p>
    <w:p w14:paraId="650986FB" w14:textId="77777777" w:rsidR="00AE7D30" w:rsidRPr="00804C45" w:rsidRDefault="00AE7D30" w:rsidP="000373A6">
      <w:pPr>
        <w:pStyle w:val="DKMBodyText"/>
        <w:numPr>
          <w:ilvl w:val="0"/>
          <w:numId w:val="11"/>
        </w:numPr>
        <w:rPr>
          <w:rFonts w:asciiTheme="minorHAnsi" w:hAnsiTheme="minorHAnsi"/>
          <w:sz w:val="20"/>
          <w:szCs w:val="20"/>
        </w:rPr>
      </w:pPr>
      <w:r w:rsidRPr="00804C45">
        <w:rPr>
          <w:rFonts w:asciiTheme="minorHAnsi" w:hAnsiTheme="minorHAnsi"/>
          <w:sz w:val="20"/>
          <w:szCs w:val="20"/>
        </w:rPr>
        <w:t>No withdrawals from the Fund are permitted before 2025;</w:t>
      </w:r>
    </w:p>
    <w:p w14:paraId="398C4731" w14:textId="297321AA" w:rsidR="00AE7D30" w:rsidRPr="00804C45" w:rsidRDefault="00AE7D30" w:rsidP="000373A6">
      <w:pPr>
        <w:pStyle w:val="DKMBodyText"/>
        <w:numPr>
          <w:ilvl w:val="0"/>
          <w:numId w:val="11"/>
        </w:numPr>
        <w:rPr>
          <w:rFonts w:asciiTheme="minorHAnsi" w:hAnsiTheme="minorHAnsi"/>
          <w:sz w:val="20"/>
          <w:szCs w:val="20"/>
        </w:rPr>
      </w:pPr>
      <w:r w:rsidRPr="00804C45">
        <w:rPr>
          <w:rFonts w:asciiTheme="minorHAnsi" w:hAnsiTheme="minorHAnsi"/>
          <w:sz w:val="20"/>
          <w:szCs w:val="20"/>
        </w:rPr>
        <w:t>There should be no borrowing implications for the State</w:t>
      </w:r>
      <w:r w:rsidR="00C773B0" w:rsidRPr="00804C45">
        <w:rPr>
          <w:rFonts w:asciiTheme="minorHAnsi" w:hAnsiTheme="minorHAnsi"/>
          <w:sz w:val="20"/>
          <w:szCs w:val="20"/>
        </w:rPr>
        <w:t>; and</w:t>
      </w:r>
    </w:p>
    <w:p w14:paraId="5593EDE1" w14:textId="77777777" w:rsidR="00AE7D30" w:rsidRPr="00804C45" w:rsidRDefault="00AE7D30" w:rsidP="000373A6">
      <w:pPr>
        <w:pStyle w:val="DKMBodyText"/>
        <w:numPr>
          <w:ilvl w:val="0"/>
          <w:numId w:val="11"/>
        </w:numPr>
        <w:rPr>
          <w:rFonts w:asciiTheme="minorHAnsi" w:hAnsiTheme="minorHAnsi"/>
          <w:sz w:val="20"/>
          <w:szCs w:val="20"/>
        </w:rPr>
      </w:pPr>
      <w:r w:rsidRPr="00804C45">
        <w:rPr>
          <w:rFonts w:asciiTheme="minorHAnsi" w:hAnsiTheme="minorHAnsi"/>
          <w:sz w:val="20"/>
          <w:szCs w:val="20"/>
        </w:rPr>
        <w:t>ISIF’s investments must be commercial; if any investments are deemed non-commercial they may be deemed Exchequer investments and accounted for within the State’s budgetary framework.</w:t>
      </w:r>
    </w:p>
    <w:p w14:paraId="2719AABB" w14:textId="77777777" w:rsidR="00AE7D30" w:rsidRPr="00804C45" w:rsidRDefault="00AE7D30" w:rsidP="00E43A20">
      <w:pPr>
        <w:pStyle w:val="DKMBodyText"/>
        <w:rPr>
          <w:rFonts w:asciiTheme="minorHAnsi" w:hAnsiTheme="minorHAnsi"/>
          <w:sz w:val="20"/>
          <w:szCs w:val="20"/>
        </w:rPr>
      </w:pPr>
    </w:p>
    <w:p w14:paraId="1EB7812E" w14:textId="77777777" w:rsidR="00AE7D30" w:rsidRPr="00804C45" w:rsidRDefault="00AE7D30" w:rsidP="00E43A20">
      <w:pPr>
        <w:pStyle w:val="DKMBodyText"/>
        <w:rPr>
          <w:rFonts w:asciiTheme="minorHAnsi" w:hAnsiTheme="minorHAnsi"/>
          <w:sz w:val="20"/>
          <w:szCs w:val="20"/>
        </w:rPr>
      </w:pPr>
      <w:r w:rsidRPr="00804C45">
        <w:rPr>
          <w:rFonts w:asciiTheme="minorHAnsi" w:hAnsiTheme="minorHAnsi"/>
          <w:sz w:val="20"/>
          <w:szCs w:val="20"/>
        </w:rPr>
        <w:t xml:space="preserve">There are two sides to the ISIF: a discretionary portfolio and a directed portfolio. </w:t>
      </w:r>
    </w:p>
    <w:p w14:paraId="00E392DD" w14:textId="77777777" w:rsidR="00AE7D30" w:rsidRPr="00804C45" w:rsidRDefault="00AE7D30" w:rsidP="000373A6">
      <w:pPr>
        <w:pStyle w:val="DKMBodyText"/>
        <w:numPr>
          <w:ilvl w:val="0"/>
          <w:numId w:val="13"/>
        </w:numPr>
        <w:rPr>
          <w:rFonts w:asciiTheme="minorHAnsi" w:hAnsiTheme="minorHAnsi"/>
          <w:sz w:val="20"/>
          <w:szCs w:val="20"/>
        </w:rPr>
      </w:pPr>
      <w:r w:rsidRPr="00804C45">
        <w:rPr>
          <w:rFonts w:asciiTheme="minorHAnsi" w:hAnsiTheme="minorHAnsi"/>
          <w:sz w:val="20"/>
          <w:szCs w:val="20"/>
        </w:rPr>
        <w:t xml:space="preserve">The </w:t>
      </w:r>
      <w:r w:rsidRPr="00471C6D">
        <w:rPr>
          <w:rFonts w:asciiTheme="minorHAnsi" w:hAnsiTheme="minorHAnsi"/>
          <w:sz w:val="20"/>
          <w:szCs w:val="20"/>
          <w:u w:val="single"/>
        </w:rPr>
        <w:t>directed</w:t>
      </w:r>
      <w:r w:rsidRPr="00804C45">
        <w:rPr>
          <w:rFonts w:asciiTheme="minorHAnsi" w:hAnsiTheme="minorHAnsi"/>
          <w:sz w:val="20"/>
          <w:szCs w:val="20"/>
        </w:rPr>
        <w:t xml:space="preserve"> portfolio is comprised of public policy investments in Bank of Ireland, Allied Irish Bank, and the Strategic Banking Corporation of Ireland.</w:t>
      </w:r>
      <w:r w:rsidRPr="00804C45">
        <w:rPr>
          <w:rStyle w:val="FootnoteReference"/>
          <w:rFonts w:asciiTheme="minorHAnsi" w:hAnsiTheme="minorHAnsi"/>
          <w:sz w:val="20"/>
          <w:szCs w:val="20"/>
        </w:rPr>
        <w:footnoteReference w:id="77"/>
      </w:r>
      <w:r w:rsidRPr="00804C45">
        <w:rPr>
          <w:rFonts w:asciiTheme="minorHAnsi" w:hAnsiTheme="minorHAnsi"/>
          <w:sz w:val="20"/>
          <w:szCs w:val="20"/>
        </w:rPr>
        <w:t xml:space="preserve"> </w:t>
      </w:r>
    </w:p>
    <w:p w14:paraId="3585D0E6" w14:textId="77777777" w:rsidR="00AE7D30" w:rsidRPr="00E43A20" w:rsidRDefault="00AE7D30" w:rsidP="000373A6">
      <w:pPr>
        <w:pStyle w:val="DKMBodyText"/>
        <w:numPr>
          <w:ilvl w:val="0"/>
          <w:numId w:val="13"/>
        </w:numPr>
        <w:rPr>
          <w:rFonts w:asciiTheme="minorHAnsi" w:hAnsiTheme="minorHAnsi"/>
          <w:sz w:val="20"/>
          <w:szCs w:val="20"/>
        </w:rPr>
      </w:pPr>
      <w:r w:rsidRPr="00804C45">
        <w:rPr>
          <w:rFonts w:asciiTheme="minorHAnsi" w:hAnsiTheme="minorHAnsi"/>
          <w:sz w:val="20"/>
          <w:szCs w:val="20"/>
        </w:rPr>
        <w:t xml:space="preserve">The </w:t>
      </w:r>
      <w:r w:rsidRPr="00471C6D">
        <w:rPr>
          <w:rFonts w:asciiTheme="minorHAnsi" w:hAnsiTheme="minorHAnsi"/>
          <w:sz w:val="20"/>
          <w:szCs w:val="20"/>
          <w:u w:val="single"/>
        </w:rPr>
        <w:t>discretionary</w:t>
      </w:r>
      <w:r w:rsidRPr="00804C45">
        <w:rPr>
          <w:rFonts w:asciiTheme="minorHAnsi" w:hAnsiTheme="minorHAnsi"/>
          <w:sz w:val="20"/>
          <w:szCs w:val="20"/>
        </w:rPr>
        <w:t xml:space="preserve"> portfolio includes investments made by ISIF in Irish firms and investments. ISIF indicates that investment in infrastructure can improve economic </w:t>
      </w:r>
      <w:r w:rsidRPr="00E43A20">
        <w:rPr>
          <w:rFonts w:asciiTheme="minorHAnsi" w:hAnsiTheme="minorHAnsi"/>
          <w:sz w:val="20"/>
          <w:szCs w:val="20"/>
        </w:rPr>
        <w:t xml:space="preserve">competitiveness and that investment in R&amp;D can improve economic sustainability. </w:t>
      </w:r>
    </w:p>
    <w:p w14:paraId="69ABCC43" w14:textId="77777777" w:rsidR="00AE7D30" w:rsidRPr="00E43A20" w:rsidRDefault="00AE7D30" w:rsidP="00E43A20">
      <w:pPr>
        <w:pStyle w:val="DKMBodyText"/>
        <w:rPr>
          <w:rFonts w:asciiTheme="minorHAnsi" w:hAnsiTheme="minorHAnsi"/>
          <w:sz w:val="20"/>
          <w:szCs w:val="20"/>
        </w:rPr>
      </w:pPr>
    </w:p>
    <w:p w14:paraId="133A46CB" w14:textId="23E5C509" w:rsidR="00AE7D30" w:rsidRPr="00C773B0" w:rsidRDefault="00AE7D30" w:rsidP="00471C6D">
      <w:pPr>
        <w:pStyle w:val="DKMBodyText"/>
        <w:rPr>
          <w:rFonts w:asciiTheme="minorHAnsi" w:hAnsiTheme="minorHAnsi"/>
          <w:sz w:val="18"/>
          <w:szCs w:val="18"/>
        </w:rPr>
      </w:pPr>
      <w:r w:rsidRPr="00E43A20">
        <w:rPr>
          <w:rFonts w:asciiTheme="minorHAnsi" w:hAnsiTheme="minorHAnsi"/>
          <w:sz w:val="20"/>
          <w:szCs w:val="20"/>
        </w:rPr>
        <w:t>As of 31 December 2016, ISIF’s total fund size was €20.7</w:t>
      </w:r>
      <w:r w:rsidR="00E23E07">
        <w:rPr>
          <w:rFonts w:asciiTheme="minorHAnsi" w:hAnsiTheme="minorHAnsi"/>
          <w:sz w:val="20"/>
          <w:szCs w:val="20"/>
        </w:rPr>
        <w:t xml:space="preserve"> billion</w:t>
      </w:r>
      <w:r w:rsidRPr="00E43A20">
        <w:rPr>
          <w:rFonts w:asciiTheme="minorHAnsi" w:hAnsiTheme="minorHAnsi"/>
          <w:sz w:val="20"/>
          <w:szCs w:val="20"/>
        </w:rPr>
        <w:t xml:space="preserve">. </w:t>
      </w:r>
      <w:r w:rsidR="00471C6D">
        <w:rPr>
          <w:rFonts w:asciiTheme="minorHAnsi" w:hAnsiTheme="minorHAnsi"/>
          <w:sz w:val="20"/>
          <w:szCs w:val="20"/>
        </w:rPr>
        <w:t xml:space="preserve"> </w:t>
      </w:r>
      <w:r w:rsidRPr="00E43A20">
        <w:rPr>
          <w:sz w:val="20"/>
          <w:szCs w:val="20"/>
        </w:rPr>
        <w:t xml:space="preserve">The Fund’s “Double-Bottom Line” requirement necessitates that an investment generates a commercial return and an economic impact. </w:t>
      </w:r>
      <w:r w:rsidRPr="00E43A20">
        <w:rPr>
          <w:rFonts w:cs="HelveticaNeue-Light"/>
          <w:sz w:val="20"/>
          <w:szCs w:val="20"/>
        </w:rPr>
        <w:t>Legally, the return on the assets that comprise the entire Fund must be greater than the general government’s annual interest cost on its debt, averaged over 5 years. Over the past 5 years, the latter rate was 3.3</w:t>
      </w:r>
      <w:r w:rsidR="00C773B0">
        <w:rPr>
          <w:rFonts w:cs="HelveticaNeue-Light"/>
          <w:sz w:val="20"/>
          <w:szCs w:val="20"/>
        </w:rPr>
        <w:t xml:space="preserve"> per cent</w:t>
      </w:r>
      <w:r w:rsidRPr="00E43A20">
        <w:rPr>
          <w:rFonts w:cs="HelveticaNeue-Light"/>
          <w:sz w:val="20"/>
          <w:szCs w:val="20"/>
        </w:rPr>
        <w:t>, implying that ISIF can invest in projects that lead to a greater return than 3.3</w:t>
      </w:r>
      <w:r w:rsidR="00C773B0">
        <w:rPr>
          <w:rFonts w:cs="HelveticaNeue-Light"/>
          <w:sz w:val="20"/>
          <w:szCs w:val="20"/>
        </w:rPr>
        <w:t xml:space="preserve"> per cent</w:t>
      </w:r>
      <w:r w:rsidRPr="00E43A20">
        <w:rPr>
          <w:rFonts w:cs="HelveticaNeue-Light"/>
          <w:sz w:val="20"/>
          <w:szCs w:val="20"/>
        </w:rPr>
        <w:t xml:space="preserve">. </w:t>
      </w:r>
    </w:p>
    <w:p w14:paraId="3DBAA69F" w14:textId="77777777" w:rsidR="00AE7D30" w:rsidRPr="00346DCA" w:rsidRDefault="00AE7D30" w:rsidP="00AE7D30">
      <w:pPr>
        <w:pStyle w:val="DKMBodyText"/>
        <w:spacing w:line="276" w:lineRule="auto"/>
        <w:rPr>
          <w:rFonts w:asciiTheme="minorHAnsi" w:hAnsiTheme="minorHAnsi"/>
        </w:rPr>
      </w:pPr>
    </w:p>
    <w:p w14:paraId="57EF280E" w14:textId="23B12042" w:rsidR="00AE7D30" w:rsidRPr="00346DCA" w:rsidRDefault="00AE7D30" w:rsidP="00E43A20">
      <w:pPr>
        <w:pStyle w:val="DKMBodyText"/>
        <w:rPr>
          <w:rFonts w:asciiTheme="minorHAnsi" w:hAnsiTheme="minorHAnsi"/>
        </w:rPr>
      </w:pPr>
      <w:r w:rsidRPr="00E43A20">
        <w:rPr>
          <w:rFonts w:asciiTheme="minorHAnsi" w:hAnsiTheme="minorHAnsi"/>
          <w:sz w:val="20"/>
          <w:szCs w:val="20"/>
        </w:rPr>
        <w:t>ISIF provides a proportionate breakdown of jobs, capital deployed, a</w:t>
      </w:r>
      <w:r w:rsidR="00C773B0">
        <w:rPr>
          <w:rFonts w:asciiTheme="minorHAnsi" w:hAnsiTheme="minorHAnsi"/>
          <w:sz w:val="20"/>
          <w:szCs w:val="20"/>
        </w:rPr>
        <w:t>nd turnover on a regional basis.</w:t>
      </w:r>
      <w:r w:rsidRPr="00E43A20">
        <w:rPr>
          <w:rStyle w:val="FootnoteReference"/>
          <w:rFonts w:asciiTheme="minorHAnsi" w:hAnsiTheme="minorHAnsi"/>
          <w:sz w:val="20"/>
          <w:szCs w:val="20"/>
        </w:rPr>
        <w:t xml:space="preserve"> </w:t>
      </w:r>
      <w:r w:rsidRPr="00E43A20">
        <w:rPr>
          <w:rStyle w:val="FootnoteReference"/>
          <w:rFonts w:asciiTheme="minorHAnsi" w:hAnsiTheme="minorHAnsi"/>
          <w:sz w:val="20"/>
          <w:szCs w:val="20"/>
        </w:rPr>
        <w:footnoteReference w:id="78"/>
      </w:r>
      <w:r w:rsidRPr="00E43A20">
        <w:rPr>
          <w:rFonts w:asciiTheme="minorHAnsi" w:hAnsiTheme="minorHAnsi"/>
          <w:sz w:val="20"/>
          <w:szCs w:val="20"/>
        </w:rPr>
        <w:t xml:space="preserve"> As can be observed</w:t>
      </w:r>
      <w:r w:rsidR="00C773B0">
        <w:rPr>
          <w:rFonts w:asciiTheme="minorHAnsi" w:hAnsiTheme="minorHAnsi"/>
          <w:sz w:val="20"/>
          <w:szCs w:val="20"/>
        </w:rPr>
        <w:t xml:space="preserve"> in Table 3.1</w:t>
      </w:r>
      <w:r w:rsidR="00E23E07">
        <w:rPr>
          <w:rFonts w:asciiTheme="minorHAnsi" w:hAnsiTheme="minorHAnsi"/>
          <w:sz w:val="20"/>
          <w:szCs w:val="20"/>
        </w:rPr>
        <w:t>2</w:t>
      </w:r>
      <w:r w:rsidRPr="00E43A20">
        <w:rPr>
          <w:rFonts w:asciiTheme="minorHAnsi" w:hAnsiTheme="minorHAnsi"/>
          <w:sz w:val="20"/>
          <w:szCs w:val="20"/>
        </w:rPr>
        <w:t>, Dublin accounts for a majority of the capital deployed</w:t>
      </w:r>
      <w:r w:rsidR="00E23E07">
        <w:rPr>
          <w:rFonts w:asciiTheme="minorHAnsi" w:hAnsiTheme="minorHAnsi"/>
          <w:sz w:val="20"/>
          <w:szCs w:val="20"/>
        </w:rPr>
        <w:t xml:space="preserve"> and</w:t>
      </w:r>
      <w:r w:rsidRPr="00E43A20">
        <w:rPr>
          <w:rFonts w:asciiTheme="minorHAnsi" w:hAnsiTheme="minorHAnsi"/>
          <w:sz w:val="20"/>
          <w:szCs w:val="20"/>
        </w:rPr>
        <w:t xml:space="preserve"> a similar majority of the turnover generated</w:t>
      </w:r>
      <w:r w:rsidR="00E23E07">
        <w:rPr>
          <w:rFonts w:asciiTheme="minorHAnsi" w:hAnsiTheme="minorHAnsi"/>
          <w:sz w:val="20"/>
          <w:szCs w:val="20"/>
        </w:rPr>
        <w:t>. However,</w:t>
      </w:r>
      <w:r w:rsidRPr="00E43A20">
        <w:rPr>
          <w:rFonts w:asciiTheme="minorHAnsi" w:hAnsiTheme="minorHAnsi"/>
          <w:sz w:val="20"/>
          <w:szCs w:val="20"/>
        </w:rPr>
        <w:t xml:space="preserve"> investments made in Dublin were less labour intensive than investments made in other regions</w:t>
      </w:r>
      <w:r w:rsidR="00E23E07">
        <w:rPr>
          <w:rFonts w:asciiTheme="minorHAnsi" w:hAnsiTheme="minorHAnsi"/>
          <w:sz w:val="20"/>
          <w:szCs w:val="20"/>
        </w:rPr>
        <w:t>, as Dublin generated 42 per cent of the total jobs, despite receiving 55 per cent of the capital deployed.</w:t>
      </w:r>
      <w:r w:rsidRPr="00E43A20">
        <w:rPr>
          <w:rFonts w:asciiTheme="minorHAnsi" w:hAnsiTheme="minorHAnsi"/>
          <w:sz w:val="20"/>
          <w:szCs w:val="20"/>
        </w:rPr>
        <w:t xml:space="preserve"> The Munster region received 19</w:t>
      </w:r>
      <w:r w:rsidR="00C773B0">
        <w:rPr>
          <w:rFonts w:asciiTheme="minorHAnsi" w:hAnsiTheme="minorHAnsi"/>
          <w:sz w:val="20"/>
          <w:szCs w:val="20"/>
        </w:rPr>
        <w:t xml:space="preserve"> per cent</w:t>
      </w:r>
      <w:r w:rsidRPr="00E43A20">
        <w:rPr>
          <w:rFonts w:asciiTheme="minorHAnsi" w:hAnsiTheme="minorHAnsi"/>
          <w:sz w:val="20"/>
          <w:szCs w:val="20"/>
        </w:rPr>
        <w:t xml:space="preserve"> of all capital deployed, accounted for 22</w:t>
      </w:r>
      <w:r w:rsidR="00C773B0">
        <w:rPr>
          <w:rFonts w:asciiTheme="minorHAnsi" w:hAnsiTheme="minorHAnsi"/>
          <w:sz w:val="20"/>
          <w:szCs w:val="20"/>
        </w:rPr>
        <w:t xml:space="preserve"> per cent</w:t>
      </w:r>
      <w:r w:rsidRPr="00E43A20">
        <w:rPr>
          <w:rFonts w:asciiTheme="minorHAnsi" w:hAnsiTheme="minorHAnsi"/>
          <w:sz w:val="20"/>
          <w:szCs w:val="20"/>
        </w:rPr>
        <w:t xml:space="preserve"> of turnover, </w:t>
      </w:r>
      <w:r w:rsidR="00E23E07">
        <w:rPr>
          <w:rFonts w:asciiTheme="minorHAnsi" w:hAnsiTheme="minorHAnsi"/>
          <w:sz w:val="20"/>
          <w:szCs w:val="20"/>
        </w:rPr>
        <w:t>but</w:t>
      </w:r>
      <w:r w:rsidRPr="00E43A20">
        <w:rPr>
          <w:rFonts w:asciiTheme="minorHAnsi" w:hAnsiTheme="minorHAnsi"/>
          <w:sz w:val="20"/>
          <w:szCs w:val="20"/>
        </w:rPr>
        <w:t xml:space="preserve"> accounted for 35</w:t>
      </w:r>
      <w:r w:rsidR="00C773B0">
        <w:rPr>
          <w:rFonts w:asciiTheme="minorHAnsi" w:hAnsiTheme="minorHAnsi"/>
          <w:sz w:val="20"/>
          <w:szCs w:val="20"/>
        </w:rPr>
        <w:t xml:space="preserve"> per cent</w:t>
      </w:r>
      <w:r w:rsidRPr="00E43A20">
        <w:rPr>
          <w:rFonts w:asciiTheme="minorHAnsi" w:hAnsiTheme="minorHAnsi"/>
          <w:sz w:val="20"/>
          <w:szCs w:val="20"/>
        </w:rPr>
        <w:t xml:space="preserve"> of all jobs generated. This implies that the investments in the region were proportionately more labour intensive than the investments made in other provinces, as well as being marginally stronger at generating turnover than other regions.</w:t>
      </w:r>
      <w:r w:rsidRPr="00346DCA">
        <w:rPr>
          <w:rFonts w:asciiTheme="minorHAnsi" w:hAnsiTheme="minorHAnsi"/>
        </w:rPr>
        <w:t xml:space="preserve"> </w:t>
      </w:r>
    </w:p>
    <w:p w14:paraId="0CE09740" w14:textId="77777777" w:rsidR="00AE7D30" w:rsidRPr="00346DCA" w:rsidRDefault="00AE7D30" w:rsidP="00AE7D30">
      <w:pPr>
        <w:pStyle w:val="DKMTable"/>
        <w:spacing w:line="276" w:lineRule="auto"/>
      </w:pPr>
      <w:bookmarkStart w:id="49" w:name="_Toc478116728"/>
      <w:r w:rsidRPr="00346DCA">
        <w:t>ISIF Regional Economic Impact 2016 (%)</w:t>
      </w:r>
      <w:bookmarkEnd w:id="49"/>
    </w:p>
    <w:tbl>
      <w:tblPr>
        <w:tblStyle w:val="ColorfulList-Accent1"/>
        <w:tblW w:w="7088" w:type="dxa"/>
        <w:tblLook w:val="04A0" w:firstRow="1" w:lastRow="0" w:firstColumn="1" w:lastColumn="0" w:noHBand="0" w:noVBand="1"/>
      </w:tblPr>
      <w:tblGrid>
        <w:gridCol w:w="1985"/>
        <w:gridCol w:w="1701"/>
        <w:gridCol w:w="1701"/>
        <w:gridCol w:w="1701"/>
      </w:tblGrid>
      <w:tr w:rsidR="00AE7D30" w:rsidRPr="00346DCA" w14:paraId="4488990D" w14:textId="77777777" w:rsidTr="00E43A2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F1736E3" w14:textId="77777777" w:rsidR="00AE7D30" w:rsidRPr="00346DCA" w:rsidRDefault="00AE7D30" w:rsidP="00E43A20">
            <w:pPr>
              <w:spacing w:line="240" w:lineRule="auto"/>
              <w:jc w:val="left"/>
              <w:rPr>
                <w:rFonts w:eastAsia="Times New Roman" w:cs="Times New Roman"/>
                <w:color w:val="FFFFFF"/>
                <w:sz w:val="18"/>
                <w:szCs w:val="18"/>
              </w:rPr>
            </w:pPr>
          </w:p>
        </w:tc>
        <w:tc>
          <w:tcPr>
            <w:tcW w:w="1701" w:type="dxa"/>
          </w:tcPr>
          <w:p w14:paraId="58A164A0" w14:textId="77777777" w:rsidR="00AE7D30" w:rsidRPr="00346DCA" w:rsidRDefault="00AE7D30" w:rsidP="00E43A20">
            <w:pPr>
              <w:spacing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sz w:val="18"/>
                <w:szCs w:val="18"/>
              </w:rPr>
            </w:pPr>
            <w:r w:rsidRPr="00346DCA">
              <w:rPr>
                <w:rFonts w:eastAsia="Times New Roman" w:cs="Times New Roman"/>
                <w:color w:val="FFFFFF"/>
                <w:sz w:val="18"/>
                <w:szCs w:val="18"/>
              </w:rPr>
              <w:t>ISIF Capital Deployed</w:t>
            </w:r>
          </w:p>
        </w:tc>
        <w:tc>
          <w:tcPr>
            <w:tcW w:w="1701" w:type="dxa"/>
          </w:tcPr>
          <w:p w14:paraId="429E36E0" w14:textId="77777777" w:rsidR="00AE7D30" w:rsidRPr="00346DCA" w:rsidRDefault="00AE7D30" w:rsidP="00E43A20">
            <w:pPr>
              <w:spacing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sz w:val="18"/>
                <w:szCs w:val="18"/>
              </w:rPr>
            </w:pPr>
            <w:r w:rsidRPr="00346DCA">
              <w:rPr>
                <w:rFonts w:eastAsia="Times New Roman" w:cs="Times New Roman"/>
                <w:color w:val="FFFFFF"/>
                <w:sz w:val="18"/>
                <w:szCs w:val="18"/>
              </w:rPr>
              <w:t>Turnover</w:t>
            </w:r>
          </w:p>
        </w:tc>
        <w:tc>
          <w:tcPr>
            <w:tcW w:w="1701" w:type="dxa"/>
            <w:noWrap/>
            <w:hideMark/>
          </w:tcPr>
          <w:p w14:paraId="4AAC06AB" w14:textId="77777777" w:rsidR="00AE7D30" w:rsidRPr="00346DCA" w:rsidRDefault="00AE7D30" w:rsidP="00E43A20">
            <w:pPr>
              <w:spacing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8"/>
                <w:szCs w:val="18"/>
              </w:rPr>
            </w:pPr>
            <w:r w:rsidRPr="00346DCA">
              <w:rPr>
                <w:rFonts w:eastAsia="Times New Roman" w:cs="Times New Roman"/>
                <w:color w:val="FFFFFF"/>
                <w:sz w:val="18"/>
                <w:szCs w:val="18"/>
              </w:rPr>
              <w:t>Jobs</w:t>
            </w:r>
          </w:p>
        </w:tc>
      </w:tr>
      <w:tr w:rsidR="00AE7D30" w:rsidRPr="00346DCA" w14:paraId="02F0F93D" w14:textId="77777777" w:rsidTr="00E43A2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76453C6" w14:textId="77777777" w:rsidR="00AE7D30" w:rsidRPr="00346DCA" w:rsidRDefault="00AE7D30" w:rsidP="00E43A20">
            <w:pPr>
              <w:spacing w:line="240" w:lineRule="auto"/>
              <w:jc w:val="left"/>
              <w:rPr>
                <w:rFonts w:eastAsia="Times New Roman" w:cs="Times New Roman"/>
                <w:color w:val="000000"/>
                <w:sz w:val="18"/>
                <w:szCs w:val="18"/>
              </w:rPr>
            </w:pPr>
            <w:r w:rsidRPr="00346DCA">
              <w:rPr>
                <w:rFonts w:eastAsia="Times New Roman" w:cs="Times New Roman"/>
                <w:color w:val="000000"/>
                <w:sz w:val="18"/>
                <w:szCs w:val="18"/>
              </w:rPr>
              <w:t xml:space="preserve">Connaught </w:t>
            </w:r>
          </w:p>
        </w:tc>
        <w:tc>
          <w:tcPr>
            <w:tcW w:w="1701" w:type="dxa"/>
          </w:tcPr>
          <w:p w14:paraId="6EEEBAC7" w14:textId="77777777" w:rsidR="00AE7D30" w:rsidRPr="00346DCA" w:rsidRDefault="00AE7D30" w:rsidP="00E43A2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9</w:t>
            </w:r>
          </w:p>
        </w:tc>
        <w:tc>
          <w:tcPr>
            <w:tcW w:w="1701" w:type="dxa"/>
          </w:tcPr>
          <w:p w14:paraId="57805B0E" w14:textId="77777777" w:rsidR="00AE7D30" w:rsidRPr="00346DCA" w:rsidRDefault="00AE7D30" w:rsidP="00E43A2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6</w:t>
            </w:r>
          </w:p>
        </w:tc>
        <w:tc>
          <w:tcPr>
            <w:tcW w:w="1701" w:type="dxa"/>
            <w:noWrap/>
            <w:hideMark/>
          </w:tcPr>
          <w:p w14:paraId="7231FE2D" w14:textId="77777777" w:rsidR="00AE7D30" w:rsidRPr="00346DCA" w:rsidRDefault="00AE7D30" w:rsidP="00E43A2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6</w:t>
            </w:r>
          </w:p>
        </w:tc>
      </w:tr>
      <w:tr w:rsidR="00AE7D30" w:rsidRPr="00346DCA" w14:paraId="7310A6FD" w14:textId="77777777" w:rsidTr="00E43A20">
        <w:trPr>
          <w:trHeight w:val="113"/>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1965A6C" w14:textId="77777777" w:rsidR="00AE7D30" w:rsidRPr="00346DCA" w:rsidRDefault="00AE7D30" w:rsidP="00E43A20">
            <w:pPr>
              <w:spacing w:line="240" w:lineRule="auto"/>
              <w:jc w:val="left"/>
              <w:rPr>
                <w:rFonts w:eastAsia="Times New Roman" w:cs="Times New Roman"/>
                <w:color w:val="000000"/>
                <w:sz w:val="18"/>
                <w:szCs w:val="18"/>
              </w:rPr>
            </w:pPr>
            <w:r w:rsidRPr="00346DCA">
              <w:rPr>
                <w:rFonts w:eastAsia="Times New Roman" w:cs="Times New Roman"/>
                <w:color w:val="000000"/>
                <w:sz w:val="18"/>
                <w:szCs w:val="18"/>
              </w:rPr>
              <w:t>Dublin</w:t>
            </w:r>
          </w:p>
        </w:tc>
        <w:tc>
          <w:tcPr>
            <w:tcW w:w="1701" w:type="dxa"/>
          </w:tcPr>
          <w:p w14:paraId="3017C318" w14:textId="77777777" w:rsidR="00AE7D30" w:rsidRPr="00346DCA" w:rsidRDefault="00AE7D30" w:rsidP="00E43A2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55</w:t>
            </w:r>
          </w:p>
        </w:tc>
        <w:tc>
          <w:tcPr>
            <w:tcW w:w="1701" w:type="dxa"/>
          </w:tcPr>
          <w:p w14:paraId="1AA442D1" w14:textId="77777777" w:rsidR="00AE7D30" w:rsidRPr="00346DCA" w:rsidRDefault="00AE7D30" w:rsidP="00E43A2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54</w:t>
            </w:r>
          </w:p>
        </w:tc>
        <w:tc>
          <w:tcPr>
            <w:tcW w:w="1701" w:type="dxa"/>
            <w:noWrap/>
            <w:hideMark/>
          </w:tcPr>
          <w:p w14:paraId="2AA41043" w14:textId="77777777" w:rsidR="00AE7D30" w:rsidRPr="00346DCA" w:rsidRDefault="00AE7D30" w:rsidP="00E43A2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42</w:t>
            </w:r>
          </w:p>
        </w:tc>
      </w:tr>
      <w:tr w:rsidR="00AE7D30" w:rsidRPr="00346DCA" w14:paraId="0DB32C77" w14:textId="77777777" w:rsidTr="00E43A2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0E33124" w14:textId="77777777" w:rsidR="00AE7D30" w:rsidRPr="00346DCA" w:rsidRDefault="00AE7D30" w:rsidP="00E43A20">
            <w:pPr>
              <w:spacing w:line="240" w:lineRule="auto"/>
              <w:jc w:val="left"/>
              <w:rPr>
                <w:rFonts w:eastAsia="Times New Roman" w:cs="Times New Roman"/>
                <w:color w:val="000000"/>
                <w:sz w:val="18"/>
                <w:szCs w:val="18"/>
              </w:rPr>
            </w:pPr>
            <w:r w:rsidRPr="00346DCA">
              <w:rPr>
                <w:rFonts w:eastAsia="Times New Roman" w:cs="Times New Roman"/>
                <w:color w:val="000000"/>
                <w:sz w:val="18"/>
                <w:szCs w:val="18"/>
              </w:rPr>
              <w:t>Leinster (ex-Dublin)</w:t>
            </w:r>
          </w:p>
        </w:tc>
        <w:tc>
          <w:tcPr>
            <w:tcW w:w="1701" w:type="dxa"/>
          </w:tcPr>
          <w:p w14:paraId="06E12E63" w14:textId="77777777" w:rsidR="00AE7D30" w:rsidRPr="00346DCA" w:rsidRDefault="00AE7D30" w:rsidP="00E43A2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13</w:t>
            </w:r>
          </w:p>
        </w:tc>
        <w:tc>
          <w:tcPr>
            <w:tcW w:w="1701" w:type="dxa"/>
          </w:tcPr>
          <w:p w14:paraId="07BD4C8F" w14:textId="77777777" w:rsidR="00AE7D30" w:rsidRPr="00346DCA" w:rsidRDefault="00AE7D30" w:rsidP="00E43A2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16</w:t>
            </w:r>
          </w:p>
        </w:tc>
        <w:tc>
          <w:tcPr>
            <w:tcW w:w="1701" w:type="dxa"/>
            <w:noWrap/>
            <w:hideMark/>
          </w:tcPr>
          <w:p w14:paraId="042EAD18" w14:textId="77777777" w:rsidR="00AE7D30" w:rsidRPr="00346DCA" w:rsidRDefault="00AE7D30" w:rsidP="00E43A2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15</w:t>
            </w:r>
          </w:p>
        </w:tc>
      </w:tr>
      <w:tr w:rsidR="00AE7D30" w:rsidRPr="00346DCA" w14:paraId="04417639" w14:textId="77777777" w:rsidTr="00E43A20">
        <w:trPr>
          <w:trHeight w:val="113"/>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DBD944B" w14:textId="77777777" w:rsidR="00AE7D30" w:rsidRPr="00346DCA" w:rsidRDefault="00AE7D30" w:rsidP="00E43A20">
            <w:pPr>
              <w:spacing w:line="240" w:lineRule="auto"/>
              <w:jc w:val="left"/>
              <w:rPr>
                <w:rFonts w:eastAsia="Times New Roman" w:cs="Times New Roman"/>
                <w:color w:val="000000"/>
                <w:sz w:val="18"/>
                <w:szCs w:val="18"/>
              </w:rPr>
            </w:pPr>
            <w:r w:rsidRPr="00346DCA">
              <w:rPr>
                <w:rFonts w:eastAsia="Times New Roman" w:cs="Times New Roman"/>
                <w:color w:val="000000"/>
                <w:sz w:val="18"/>
                <w:szCs w:val="18"/>
              </w:rPr>
              <w:t>Munster</w:t>
            </w:r>
          </w:p>
        </w:tc>
        <w:tc>
          <w:tcPr>
            <w:tcW w:w="1701" w:type="dxa"/>
          </w:tcPr>
          <w:p w14:paraId="5CEECA86" w14:textId="77777777" w:rsidR="00AE7D30" w:rsidRPr="00346DCA" w:rsidRDefault="00AE7D30" w:rsidP="00E43A2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19</w:t>
            </w:r>
          </w:p>
        </w:tc>
        <w:tc>
          <w:tcPr>
            <w:tcW w:w="1701" w:type="dxa"/>
          </w:tcPr>
          <w:p w14:paraId="4FDC693F" w14:textId="77777777" w:rsidR="00AE7D30" w:rsidRPr="00346DCA" w:rsidRDefault="00AE7D30" w:rsidP="00E43A2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22</w:t>
            </w:r>
          </w:p>
        </w:tc>
        <w:tc>
          <w:tcPr>
            <w:tcW w:w="1701" w:type="dxa"/>
            <w:noWrap/>
            <w:hideMark/>
          </w:tcPr>
          <w:p w14:paraId="55BE654F" w14:textId="77777777" w:rsidR="00AE7D30" w:rsidRPr="00346DCA" w:rsidRDefault="00AE7D30" w:rsidP="00E43A2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35</w:t>
            </w:r>
          </w:p>
        </w:tc>
      </w:tr>
      <w:tr w:rsidR="00AE7D30" w:rsidRPr="00346DCA" w14:paraId="3590BBF1" w14:textId="77777777" w:rsidTr="00E43A2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E61191C" w14:textId="77777777" w:rsidR="00AE7D30" w:rsidRPr="00346DCA" w:rsidRDefault="00AE7D30" w:rsidP="00E43A20">
            <w:pPr>
              <w:spacing w:line="240" w:lineRule="auto"/>
              <w:jc w:val="left"/>
              <w:rPr>
                <w:rFonts w:eastAsia="Times New Roman" w:cs="Times New Roman"/>
                <w:color w:val="000000"/>
                <w:sz w:val="18"/>
                <w:szCs w:val="18"/>
              </w:rPr>
            </w:pPr>
            <w:r w:rsidRPr="00346DCA">
              <w:rPr>
                <w:rFonts w:eastAsia="Times New Roman" w:cs="Times New Roman"/>
                <w:color w:val="000000"/>
                <w:sz w:val="18"/>
                <w:szCs w:val="18"/>
              </w:rPr>
              <w:t>Ulster</w:t>
            </w:r>
          </w:p>
        </w:tc>
        <w:tc>
          <w:tcPr>
            <w:tcW w:w="1701" w:type="dxa"/>
          </w:tcPr>
          <w:p w14:paraId="4E0D2E0C" w14:textId="77777777" w:rsidR="00AE7D30" w:rsidRPr="00346DCA" w:rsidRDefault="00AE7D30" w:rsidP="00E43A2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4</w:t>
            </w:r>
          </w:p>
        </w:tc>
        <w:tc>
          <w:tcPr>
            <w:tcW w:w="1701" w:type="dxa"/>
          </w:tcPr>
          <w:p w14:paraId="6AAC6B42" w14:textId="77777777" w:rsidR="00AE7D30" w:rsidRPr="00346DCA" w:rsidRDefault="00AE7D30" w:rsidP="00E43A2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2</w:t>
            </w:r>
          </w:p>
        </w:tc>
        <w:tc>
          <w:tcPr>
            <w:tcW w:w="1701" w:type="dxa"/>
            <w:noWrap/>
            <w:hideMark/>
          </w:tcPr>
          <w:p w14:paraId="739BA834" w14:textId="77777777" w:rsidR="00AE7D30" w:rsidRPr="00346DCA" w:rsidRDefault="00AE7D30" w:rsidP="00E43A2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2</w:t>
            </w:r>
          </w:p>
        </w:tc>
      </w:tr>
      <w:tr w:rsidR="00AE7D30" w:rsidRPr="00346DCA" w14:paraId="0B97EEE0" w14:textId="77777777" w:rsidTr="00E43A20">
        <w:trPr>
          <w:trHeight w:val="113"/>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C86D981" w14:textId="77777777" w:rsidR="00AE7D30" w:rsidRPr="00346DCA" w:rsidRDefault="00AE7D30" w:rsidP="00E43A20">
            <w:pPr>
              <w:spacing w:line="240" w:lineRule="auto"/>
              <w:jc w:val="left"/>
              <w:rPr>
                <w:rFonts w:eastAsia="Times New Roman" w:cs="Times New Roman"/>
                <w:color w:val="000000"/>
                <w:sz w:val="18"/>
                <w:szCs w:val="18"/>
              </w:rPr>
            </w:pPr>
            <w:r w:rsidRPr="00346DCA">
              <w:rPr>
                <w:rFonts w:eastAsia="Times New Roman" w:cs="Times New Roman"/>
                <w:color w:val="000000"/>
                <w:sz w:val="18"/>
                <w:szCs w:val="18"/>
              </w:rPr>
              <w:t>State</w:t>
            </w:r>
          </w:p>
        </w:tc>
        <w:tc>
          <w:tcPr>
            <w:tcW w:w="1701" w:type="dxa"/>
          </w:tcPr>
          <w:p w14:paraId="2C52F23F" w14:textId="77777777" w:rsidR="00AE7D30" w:rsidRPr="00346DCA" w:rsidRDefault="00AE7D30" w:rsidP="00E43A2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100</w:t>
            </w:r>
          </w:p>
        </w:tc>
        <w:tc>
          <w:tcPr>
            <w:tcW w:w="1701" w:type="dxa"/>
          </w:tcPr>
          <w:p w14:paraId="05242033" w14:textId="77777777" w:rsidR="00AE7D30" w:rsidRPr="00346DCA" w:rsidRDefault="00AE7D30" w:rsidP="00E43A2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100</w:t>
            </w:r>
          </w:p>
        </w:tc>
        <w:tc>
          <w:tcPr>
            <w:tcW w:w="1701" w:type="dxa"/>
            <w:noWrap/>
            <w:hideMark/>
          </w:tcPr>
          <w:p w14:paraId="55F3F8AD" w14:textId="77777777" w:rsidR="00AE7D30" w:rsidRPr="00346DCA" w:rsidRDefault="00AE7D30" w:rsidP="00E43A2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346DCA">
              <w:rPr>
                <w:rFonts w:eastAsia="Times New Roman" w:cs="Times New Roman"/>
                <w:color w:val="000000"/>
                <w:sz w:val="18"/>
                <w:szCs w:val="18"/>
              </w:rPr>
              <w:t>100</w:t>
            </w:r>
          </w:p>
        </w:tc>
      </w:tr>
    </w:tbl>
    <w:p w14:paraId="5EB3BBAC" w14:textId="2FF13C71" w:rsidR="00AE7D30" w:rsidRPr="00E43A20" w:rsidRDefault="00AE7D30" w:rsidP="00AE7D30">
      <w:pPr>
        <w:pStyle w:val="DKMBodyText"/>
        <w:spacing w:line="276" w:lineRule="auto"/>
        <w:rPr>
          <w:rFonts w:asciiTheme="minorHAnsi" w:hAnsiTheme="minorHAnsi"/>
          <w:sz w:val="18"/>
          <w:szCs w:val="18"/>
        </w:rPr>
      </w:pPr>
      <w:r w:rsidRPr="00E43A20">
        <w:rPr>
          <w:rFonts w:asciiTheme="minorHAnsi" w:hAnsiTheme="minorHAnsi"/>
          <w:sz w:val="18"/>
          <w:szCs w:val="18"/>
        </w:rPr>
        <w:t>Source: ISIF</w:t>
      </w:r>
      <w:r w:rsidR="00C76BE1">
        <w:rPr>
          <w:rFonts w:asciiTheme="minorHAnsi" w:hAnsiTheme="minorHAnsi"/>
          <w:sz w:val="18"/>
          <w:szCs w:val="18"/>
        </w:rPr>
        <w:t>.</w:t>
      </w:r>
    </w:p>
    <w:p w14:paraId="3033AD72" w14:textId="77777777" w:rsidR="00AE7D30" w:rsidRPr="00346DCA" w:rsidRDefault="00AE7D30" w:rsidP="00AE7D30">
      <w:pPr>
        <w:pStyle w:val="DKMBodyText"/>
        <w:spacing w:line="276" w:lineRule="auto"/>
        <w:rPr>
          <w:rFonts w:asciiTheme="minorHAnsi" w:hAnsiTheme="minorHAnsi"/>
        </w:rPr>
      </w:pPr>
    </w:p>
    <w:p w14:paraId="4991C0D6" w14:textId="2C8AD3FD" w:rsidR="00AE7D30" w:rsidRPr="00E43A20" w:rsidRDefault="00AE7D30" w:rsidP="00E43A20">
      <w:pPr>
        <w:pStyle w:val="DKMBodyText"/>
        <w:rPr>
          <w:rFonts w:asciiTheme="minorHAnsi" w:hAnsiTheme="minorHAnsi"/>
          <w:sz w:val="20"/>
          <w:szCs w:val="20"/>
        </w:rPr>
      </w:pPr>
      <w:r w:rsidRPr="00E43A20">
        <w:rPr>
          <w:rFonts w:asciiTheme="minorHAnsi" w:hAnsiTheme="minorHAnsi"/>
          <w:sz w:val="20"/>
          <w:szCs w:val="20"/>
        </w:rPr>
        <w:t>The ISIF has invested €2.7</w:t>
      </w:r>
      <w:r w:rsidR="00A240E9">
        <w:rPr>
          <w:rFonts w:asciiTheme="minorHAnsi" w:hAnsiTheme="minorHAnsi"/>
          <w:sz w:val="20"/>
          <w:szCs w:val="20"/>
        </w:rPr>
        <w:t xml:space="preserve"> billion</w:t>
      </w:r>
      <w:r w:rsidRPr="00E43A20">
        <w:rPr>
          <w:rFonts w:asciiTheme="minorHAnsi" w:hAnsiTheme="minorHAnsi"/>
          <w:sz w:val="20"/>
          <w:szCs w:val="20"/>
        </w:rPr>
        <w:t xml:space="preserve"> in Irish firms and investments since its establishment. Venture Funds and Real Estate have received the greatest level of investment, amounting to a combined investment of over €1</w:t>
      </w:r>
      <w:r w:rsidR="00A240E9">
        <w:rPr>
          <w:rFonts w:asciiTheme="minorHAnsi" w:hAnsiTheme="minorHAnsi"/>
          <w:sz w:val="20"/>
          <w:szCs w:val="20"/>
        </w:rPr>
        <w:t xml:space="preserve"> billion</w:t>
      </w:r>
      <w:r w:rsidRPr="00E43A20">
        <w:rPr>
          <w:rFonts w:asciiTheme="minorHAnsi" w:hAnsiTheme="minorHAnsi"/>
          <w:sz w:val="20"/>
          <w:szCs w:val="20"/>
        </w:rPr>
        <w:t xml:space="preserve">. A breakdown of ISIF investments by area of investment is shown below. </w:t>
      </w:r>
    </w:p>
    <w:p w14:paraId="779FA416" w14:textId="77777777" w:rsidR="00AE7D30" w:rsidRPr="00346DCA" w:rsidRDefault="00AE7D30" w:rsidP="00AE7D30">
      <w:pPr>
        <w:pStyle w:val="DKMTable"/>
        <w:spacing w:line="276" w:lineRule="auto"/>
      </w:pPr>
      <w:bookmarkStart w:id="50" w:name="_Toc478116729"/>
      <w:r w:rsidRPr="00346DCA">
        <w:t>ISIF &amp; Third-Party Commitments (31 December 2016)</w:t>
      </w:r>
      <w:bookmarkEnd w:id="50"/>
    </w:p>
    <w:tbl>
      <w:tblPr>
        <w:tblStyle w:val="ColorfulList-Accent1"/>
        <w:tblW w:w="7289" w:type="dxa"/>
        <w:tblLook w:val="04A0" w:firstRow="1" w:lastRow="0" w:firstColumn="1" w:lastColumn="0" w:noHBand="0" w:noVBand="1"/>
      </w:tblPr>
      <w:tblGrid>
        <w:gridCol w:w="3362"/>
        <w:gridCol w:w="3927"/>
      </w:tblGrid>
      <w:tr w:rsidR="00AE7D30" w:rsidRPr="00346DCA" w14:paraId="085D68FB" w14:textId="77777777" w:rsidTr="00E43A2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4266D1BC" w14:textId="77777777" w:rsidR="00AE7D30" w:rsidRPr="00346DCA" w:rsidRDefault="00AE7D30" w:rsidP="00E43A20">
            <w:pPr>
              <w:spacing w:line="276" w:lineRule="auto"/>
              <w:rPr>
                <w:rFonts w:eastAsia="Times New Roman" w:cs="Times New Roman"/>
                <w:sz w:val="18"/>
                <w:szCs w:val="18"/>
              </w:rPr>
            </w:pPr>
            <w:r w:rsidRPr="00346DCA">
              <w:rPr>
                <w:rFonts w:eastAsia="Times New Roman" w:cs="Times New Roman"/>
                <w:sz w:val="18"/>
                <w:szCs w:val="18"/>
              </w:rPr>
              <w:t>Investment Area</w:t>
            </w:r>
          </w:p>
        </w:tc>
        <w:tc>
          <w:tcPr>
            <w:tcW w:w="3927" w:type="dxa"/>
            <w:hideMark/>
          </w:tcPr>
          <w:p w14:paraId="7D88E8F1" w14:textId="77777777" w:rsidR="00AE7D30" w:rsidRPr="00346DCA" w:rsidRDefault="00AE7D30" w:rsidP="00C773B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rPr>
            </w:pPr>
            <w:r w:rsidRPr="00346DCA">
              <w:rPr>
                <w:rFonts w:eastAsia="Times New Roman" w:cs="Times New Roman"/>
                <w:sz w:val="18"/>
                <w:szCs w:val="18"/>
              </w:rPr>
              <w:t>Total ISIF Commitment (€m)</w:t>
            </w:r>
          </w:p>
        </w:tc>
      </w:tr>
      <w:tr w:rsidR="00AE7D30" w:rsidRPr="00346DCA" w14:paraId="4BF04CDF"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02910961" w14:textId="77777777" w:rsidR="00AE7D30" w:rsidRPr="00346DCA" w:rsidRDefault="00AE7D30" w:rsidP="00E43A20">
            <w:pPr>
              <w:spacing w:line="276" w:lineRule="auto"/>
              <w:jc w:val="left"/>
              <w:rPr>
                <w:rFonts w:eastAsia="Times New Roman" w:cs="Times New Roman"/>
                <w:sz w:val="18"/>
                <w:szCs w:val="18"/>
              </w:rPr>
            </w:pPr>
            <w:r w:rsidRPr="00346DCA">
              <w:rPr>
                <w:rFonts w:eastAsia="Times New Roman" w:cs="Times New Roman"/>
                <w:sz w:val="18"/>
                <w:szCs w:val="18"/>
              </w:rPr>
              <w:t>Venture Funds</w:t>
            </w:r>
          </w:p>
        </w:tc>
        <w:tc>
          <w:tcPr>
            <w:tcW w:w="3927" w:type="dxa"/>
            <w:hideMark/>
          </w:tcPr>
          <w:p w14:paraId="11217774" w14:textId="77777777" w:rsidR="00AE7D30" w:rsidRPr="00346DCA" w:rsidRDefault="00AE7D30" w:rsidP="00C773B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346DCA">
              <w:rPr>
                <w:rFonts w:eastAsia="Times New Roman" w:cs="Times New Roman"/>
                <w:sz w:val="18"/>
                <w:szCs w:val="18"/>
              </w:rPr>
              <w:t>504</w:t>
            </w:r>
          </w:p>
        </w:tc>
      </w:tr>
      <w:tr w:rsidR="00AE7D30" w:rsidRPr="00346DCA" w14:paraId="049D90FC"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5CC1EC8A" w14:textId="77777777" w:rsidR="00AE7D30" w:rsidRPr="00346DCA" w:rsidRDefault="00AE7D30" w:rsidP="00E43A20">
            <w:pPr>
              <w:spacing w:line="276" w:lineRule="auto"/>
              <w:jc w:val="left"/>
              <w:rPr>
                <w:rFonts w:eastAsia="Times New Roman" w:cs="Times New Roman"/>
                <w:sz w:val="18"/>
                <w:szCs w:val="18"/>
              </w:rPr>
            </w:pPr>
            <w:r w:rsidRPr="00346DCA">
              <w:rPr>
                <w:rFonts w:eastAsia="Times New Roman" w:cs="Times New Roman"/>
                <w:sz w:val="18"/>
                <w:szCs w:val="18"/>
              </w:rPr>
              <w:t>Real Estate</w:t>
            </w:r>
          </w:p>
        </w:tc>
        <w:tc>
          <w:tcPr>
            <w:tcW w:w="3927" w:type="dxa"/>
            <w:hideMark/>
          </w:tcPr>
          <w:p w14:paraId="169C48B2" w14:textId="77777777" w:rsidR="00AE7D30" w:rsidRPr="00346DCA" w:rsidRDefault="00AE7D30" w:rsidP="00C773B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346DCA">
              <w:rPr>
                <w:rFonts w:eastAsia="Times New Roman" w:cs="Times New Roman"/>
                <w:sz w:val="18"/>
                <w:szCs w:val="18"/>
              </w:rPr>
              <w:t>502</w:t>
            </w:r>
          </w:p>
        </w:tc>
      </w:tr>
      <w:tr w:rsidR="00AE7D30" w:rsidRPr="00346DCA" w14:paraId="6A75FC3A"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2BCFCF7E" w14:textId="77777777" w:rsidR="00AE7D30" w:rsidRPr="00346DCA" w:rsidRDefault="00AE7D30" w:rsidP="00E43A20">
            <w:pPr>
              <w:spacing w:line="276" w:lineRule="auto"/>
              <w:jc w:val="left"/>
              <w:rPr>
                <w:rFonts w:eastAsia="Times New Roman" w:cs="Times New Roman"/>
                <w:sz w:val="18"/>
                <w:szCs w:val="18"/>
              </w:rPr>
            </w:pPr>
            <w:r w:rsidRPr="00346DCA">
              <w:rPr>
                <w:rFonts w:eastAsia="Times New Roman" w:cs="Times New Roman"/>
                <w:sz w:val="18"/>
                <w:szCs w:val="18"/>
              </w:rPr>
              <w:t>Water</w:t>
            </w:r>
          </w:p>
        </w:tc>
        <w:tc>
          <w:tcPr>
            <w:tcW w:w="3927" w:type="dxa"/>
            <w:hideMark/>
          </w:tcPr>
          <w:p w14:paraId="5E57D43C" w14:textId="77777777" w:rsidR="00AE7D30" w:rsidRPr="00346DCA" w:rsidRDefault="00AE7D30" w:rsidP="00C773B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346DCA">
              <w:rPr>
                <w:rFonts w:eastAsia="Times New Roman" w:cs="Times New Roman"/>
                <w:sz w:val="18"/>
                <w:szCs w:val="18"/>
              </w:rPr>
              <w:t>450</w:t>
            </w:r>
          </w:p>
        </w:tc>
      </w:tr>
      <w:tr w:rsidR="00AE7D30" w:rsidRPr="00346DCA" w14:paraId="441725FD"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4B5A35A1" w14:textId="77777777" w:rsidR="00AE7D30" w:rsidRPr="00346DCA" w:rsidRDefault="00AE7D30" w:rsidP="00E43A20">
            <w:pPr>
              <w:spacing w:line="276" w:lineRule="auto"/>
              <w:jc w:val="left"/>
              <w:rPr>
                <w:rFonts w:eastAsia="Times New Roman" w:cs="Times New Roman"/>
                <w:sz w:val="18"/>
                <w:szCs w:val="18"/>
              </w:rPr>
            </w:pPr>
            <w:r w:rsidRPr="00346DCA">
              <w:rPr>
                <w:rFonts w:eastAsia="Times New Roman" w:cs="Times New Roman"/>
                <w:sz w:val="18"/>
                <w:szCs w:val="18"/>
              </w:rPr>
              <w:t>SME</w:t>
            </w:r>
          </w:p>
        </w:tc>
        <w:tc>
          <w:tcPr>
            <w:tcW w:w="3927" w:type="dxa"/>
            <w:hideMark/>
          </w:tcPr>
          <w:p w14:paraId="5EC8454B" w14:textId="77777777" w:rsidR="00AE7D30" w:rsidRPr="00346DCA" w:rsidRDefault="00AE7D30" w:rsidP="00C773B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346DCA">
              <w:rPr>
                <w:rFonts w:eastAsia="Times New Roman" w:cs="Times New Roman"/>
                <w:sz w:val="18"/>
                <w:szCs w:val="18"/>
              </w:rPr>
              <w:t>385</w:t>
            </w:r>
          </w:p>
        </w:tc>
      </w:tr>
      <w:tr w:rsidR="00AE7D30" w:rsidRPr="00346DCA" w14:paraId="77BB6E59"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47192949" w14:textId="77777777" w:rsidR="00AE7D30" w:rsidRPr="00346DCA" w:rsidRDefault="00AE7D30" w:rsidP="00E43A20">
            <w:pPr>
              <w:spacing w:line="276" w:lineRule="auto"/>
              <w:jc w:val="left"/>
              <w:rPr>
                <w:rFonts w:eastAsia="Times New Roman" w:cs="Times New Roman"/>
                <w:sz w:val="18"/>
                <w:szCs w:val="18"/>
              </w:rPr>
            </w:pPr>
            <w:r w:rsidRPr="00346DCA">
              <w:rPr>
                <w:rFonts w:eastAsia="Times New Roman" w:cs="Times New Roman"/>
                <w:sz w:val="18"/>
                <w:szCs w:val="18"/>
              </w:rPr>
              <w:t>Infrastructure</w:t>
            </w:r>
          </w:p>
        </w:tc>
        <w:tc>
          <w:tcPr>
            <w:tcW w:w="3927" w:type="dxa"/>
            <w:hideMark/>
          </w:tcPr>
          <w:p w14:paraId="2B51AF36" w14:textId="77777777" w:rsidR="00AE7D30" w:rsidRPr="00346DCA" w:rsidRDefault="00AE7D30" w:rsidP="00C773B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346DCA">
              <w:rPr>
                <w:rFonts w:eastAsia="Times New Roman" w:cs="Times New Roman"/>
                <w:sz w:val="18"/>
                <w:szCs w:val="18"/>
              </w:rPr>
              <w:t>361</w:t>
            </w:r>
          </w:p>
        </w:tc>
      </w:tr>
      <w:tr w:rsidR="00AE7D30" w:rsidRPr="00346DCA" w14:paraId="07D3AE05"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6C855453" w14:textId="77777777" w:rsidR="00AE7D30" w:rsidRPr="00346DCA" w:rsidRDefault="00AE7D30" w:rsidP="00E43A20">
            <w:pPr>
              <w:spacing w:line="276" w:lineRule="auto"/>
              <w:jc w:val="left"/>
              <w:rPr>
                <w:rFonts w:eastAsia="Times New Roman" w:cs="Times New Roman"/>
                <w:sz w:val="18"/>
                <w:szCs w:val="18"/>
              </w:rPr>
            </w:pPr>
            <w:r w:rsidRPr="00346DCA">
              <w:rPr>
                <w:rFonts w:eastAsia="Times New Roman" w:cs="Times New Roman"/>
                <w:sz w:val="18"/>
                <w:szCs w:val="18"/>
              </w:rPr>
              <w:t>Other</w:t>
            </w:r>
          </w:p>
        </w:tc>
        <w:tc>
          <w:tcPr>
            <w:tcW w:w="3927" w:type="dxa"/>
            <w:hideMark/>
          </w:tcPr>
          <w:p w14:paraId="5200E811" w14:textId="77777777" w:rsidR="00AE7D30" w:rsidRPr="00346DCA" w:rsidRDefault="00AE7D30" w:rsidP="00C773B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346DCA">
              <w:rPr>
                <w:rFonts w:eastAsia="Times New Roman" w:cs="Times New Roman"/>
                <w:sz w:val="18"/>
                <w:szCs w:val="18"/>
              </w:rPr>
              <w:t>142</w:t>
            </w:r>
          </w:p>
        </w:tc>
      </w:tr>
      <w:tr w:rsidR="00AE7D30" w:rsidRPr="00346DCA" w14:paraId="7A8EC1AD"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5EC7A120" w14:textId="77777777" w:rsidR="00AE7D30" w:rsidRPr="00346DCA" w:rsidRDefault="00AE7D30" w:rsidP="00E43A20">
            <w:pPr>
              <w:spacing w:line="276" w:lineRule="auto"/>
              <w:jc w:val="left"/>
              <w:rPr>
                <w:rFonts w:eastAsia="Times New Roman" w:cs="Times New Roman"/>
                <w:sz w:val="18"/>
                <w:szCs w:val="18"/>
              </w:rPr>
            </w:pPr>
            <w:r w:rsidRPr="00346DCA">
              <w:rPr>
                <w:rFonts w:eastAsia="Times New Roman" w:cs="Times New Roman"/>
                <w:sz w:val="18"/>
                <w:szCs w:val="18"/>
              </w:rPr>
              <w:t>Food &amp; Agriculture</w:t>
            </w:r>
          </w:p>
        </w:tc>
        <w:tc>
          <w:tcPr>
            <w:tcW w:w="3927" w:type="dxa"/>
            <w:hideMark/>
          </w:tcPr>
          <w:p w14:paraId="2B7D2204" w14:textId="77777777" w:rsidR="00AE7D30" w:rsidRPr="00346DCA" w:rsidRDefault="00AE7D30" w:rsidP="00C773B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346DCA">
              <w:rPr>
                <w:rFonts w:eastAsia="Times New Roman" w:cs="Times New Roman"/>
                <w:sz w:val="18"/>
                <w:szCs w:val="18"/>
              </w:rPr>
              <w:t>110</w:t>
            </w:r>
          </w:p>
        </w:tc>
      </w:tr>
      <w:tr w:rsidR="00AE7D30" w:rsidRPr="00346DCA" w14:paraId="04F92683"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51A8FBF6" w14:textId="77777777" w:rsidR="00AE7D30" w:rsidRPr="00346DCA" w:rsidRDefault="00AE7D30" w:rsidP="00E43A20">
            <w:pPr>
              <w:spacing w:line="276" w:lineRule="auto"/>
              <w:jc w:val="left"/>
              <w:rPr>
                <w:rFonts w:eastAsia="Times New Roman" w:cs="Times New Roman"/>
                <w:sz w:val="18"/>
                <w:szCs w:val="18"/>
              </w:rPr>
            </w:pPr>
            <w:r w:rsidRPr="00346DCA">
              <w:rPr>
                <w:rFonts w:eastAsia="Times New Roman" w:cs="Times New Roman"/>
                <w:sz w:val="18"/>
                <w:szCs w:val="18"/>
              </w:rPr>
              <w:t>Direct Equity</w:t>
            </w:r>
          </w:p>
        </w:tc>
        <w:tc>
          <w:tcPr>
            <w:tcW w:w="3927" w:type="dxa"/>
            <w:hideMark/>
          </w:tcPr>
          <w:p w14:paraId="5AD6FEC8" w14:textId="77777777" w:rsidR="00AE7D30" w:rsidRPr="00346DCA" w:rsidRDefault="00AE7D30" w:rsidP="00C773B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346DCA">
              <w:rPr>
                <w:rFonts w:eastAsia="Times New Roman" w:cs="Times New Roman"/>
                <w:sz w:val="18"/>
                <w:szCs w:val="18"/>
              </w:rPr>
              <w:t>109</w:t>
            </w:r>
          </w:p>
        </w:tc>
      </w:tr>
      <w:tr w:rsidR="00AE7D30" w:rsidRPr="00346DCA" w14:paraId="17998400"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6547199F" w14:textId="77777777" w:rsidR="00AE7D30" w:rsidRPr="00346DCA" w:rsidRDefault="00AE7D30" w:rsidP="00E43A20">
            <w:pPr>
              <w:spacing w:line="276" w:lineRule="auto"/>
              <w:jc w:val="left"/>
              <w:rPr>
                <w:rFonts w:eastAsia="Times New Roman" w:cs="Times New Roman"/>
                <w:sz w:val="18"/>
                <w:szCs w:val="18"/>
              </w:rPr>
            </w:pPr>
            <w:r w:rsidRPr="00346DCA">
              <w:rPr>
                <w:rFonts w:eastAsia="Times New Roman" w:cs="Times New Roman"/>
                <w:sz w:val="18"/>
                <w:szCs w:val="18"/>
              </w:rPr>
              <w:t>Energy</w:t>
            </w:r>
          </w:p>
        </w:tc>
        <w:tc>
          <w:tcPr>
            <w:tcW w:w="3927" w:type="dxa"/>
            <w:hideMark/>
          </w:tcPr>
          <w:p w14:paraId="73AEE524" w14:textId="0418DBB4" w:rsidR="00AE7D30" w:rsidRPr="00346DCA" w:rsidRDefault="00471C6D" w:rsidP="00C773B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 xml:space="preserve">  </w:t>
            </w:r>
            <w:r w:rsidR="00AE7D30" w:rsidRPr="00346DCA">
              <w:rPr>
                <w:rFonts w:eastAsia="Times New Roman" w:cs="Times New Roman"/>
                <w:sz w:val="18"/>
                <w:szCs w:val="18"/>
              </w:rPr>
              <w:t>79</w:t>
            </w:r>
          </w:p>
        </w:tc>
      </w:tr>
      <w:tr w:rsidR="00AE7D30" w:rsidRPr="00346DCA" w14:paraId="50776392" w14:textId="77777777" w:rsidTr="00E43A20">
        <w:trPr>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7769B975" w14:textId="77777777" w:rsidR="00AE7D30" w:rsidRPr="00346DCA" w:rsidRDefault="00AE7D30" w:rsidP="00E43A20">
            <w:pPr>
              <w:spacing w:line="276" w:lineRule="auto"/>
              <w:jc w:val="left"/>
              <w:rPr>
                <w:rFonts w:eastAsia="Times New Roman" w:cs="Times New Roman"/>
                <w:sz w:val="18"/>
                <w:szCs w:val="18"/>
              </w:rPr>
            </w:pPr>
            <w:r w:rsidRPr="00346DCA">
              <w:rPr>
                <w:rFonts w:eastAsia="Times New Roman" w:cs="Times New Roman"/>
                <w:sz w:val="18"/>
                <w:szCs w:val="18"/>
              </w:rPr>
              <w:t>Big Idea/Innovation</w:t>
            </w:r>
          </w:p>
        </w:tc>
        <w:tc>
          <w:tcPr>
            <w:tcW w:w="3927" w:type="dxa"/>
            <w:hideMark/>
          </w:tcPr>
          <w:p w14:paraId="2DFCA5F5" w14:textId="48B141DC" w:rsidR="00AE7D30" w:rsidRPr="00346DCA" w:rsidRDefault="00471C6D" w:rsidP="00C773B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 xml:space="preserve">  </w:t>
            </w:r>
            <w:r w:rsidR="00AE7D30" w:rsidRPr="00346DCA">
              <w:rPr>
                <w:rFonts w:eastAsia="Times New Roman" w:cs="Times New Roman"/>
                <w:sz w:val="18"/>
                <w:szCs w:val="18"/>
              </w:rPr>
              <w:t>12</w:t>
            </w:r>
          </w:p>
        </w:tc>
      </w:tr>
      <w:tr w:rsidR="00AE7D30" w:rsidRPr="00E43A20" w14:paraId="368CF2E7" w14:textId="77777777" w:rsidTr="00E43A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2" w:type="dxa"/>
            <w:hideMark/>
          </w:tcPr>
          <w:p w14:paraId="0F33C164" w14:textId="77777777" w:rsidR="00AE7D30" w:rsidRPr="00E43A20" w:rsidRDefault="00AE7D30" w:rsidP="00E43A20">
            <w:pPr>
              <w:spacing w:line="276" w:lineRule="auto"/>
              <w:jc w:val="left"/>
              <w:rPr>
                <w:rFonts w:eastAsia="Times New Roman" w:cs="Times New Roman"/>
                <w:b/>
                <w:sz w:val="18"/>
                <w:szCs w:val="18"/>
              </w:rPr>
            </w:pPr>
            <w:r w:rsidRPr="00E43A20">
              <w:rPr>
                <w:rFonts w:eastAsia="Times New Roman" w:cs="Times New Roman"/>
                <w:b/>
                <w:sz w:val="18"/>
                <w:szCs w:val="18"/>
              </w:rPr>
              <w:t>Total</w:t>
            </w:r>
          </w:p>
        </w:tc>
        <w:tc>
          <w:tcPr>
            <w:tcW w:w="3927" w:type="dxa"/>
            <w:hideMark/>
          </w:tcPr>
          <w:p w14:paraId="4F8EDBA4" w14:textId="77777777" w:rsidR="00AE7D30" w:rsidRPr="00E43A20" w:rsidRDefault="00AE7D30" w:rsidP="00C773B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E43A20">
              <w:rPr>
                <w:rFonts w:eastAsia="Times New Roman" w:cs="Times New Roman"/>
                <w:b/>
                <w:sz w:val="18"/>
                <w:szCs w:val="18"/>
              </w:rPr>
              <w:t>2,654</w:t>
            </w:r>
          </w:p>
        </w:tc>
      </w:tr>
    </w:tbl>
    <w:p w14:paraId="584F56F7" w14:textId="4FDB6CFE" w:rsidR="00AE7D30" w:rsidRPr="00E43A20" w:rsidRDefault="00AE7D30" w:rsidP="00AE7D30">
      <w:pPr>
        <w:pStyle w:val="DKMBodyText"/>
        <w:spacing w:line="276" w:lineRule="auto"/>
        <w:rPr>
          <w:rFonts w:asciiTheme="minorHAnsi" w:hAnsiTheme="minorHAnsi"/>
          <w:sz w:val="18"/>
          <w:szCs w:val="18"/>
        </w:rPr>
      </w:pPr>
      <w:r w:rsidRPr="00E43A20">
        <w:rPr>
          <w:rFonts w:asciiTheme="minorHAnsi" w:hAnsiTheme="minorHAnsi"/>
          <w:sz w:val="18"/>
          <w:szCs w:val="18"/>
        </w:rPr>
        <w:t>Source: ISIF</w:t>
      </w:r>
      <w:r w:rsidR="00C76BE1">
        <w:rPr>
          <w:rFonts w:asciiTheme="minorHAnsi" w:hAnsiTheme="minorHAnsi"/>
          <w:sz w:val="18"/>
          <w:szCs w:val="18"/>
        </w:rPr>
        <w:t>.</w:t>
      </w:r>
    </w:p>
    <w:p w14:paraId="7976F7EF" w14:textId="77777777" w:rsidR="00AE7D30" w:rsidRPr="002F7CF5" w:rsidRDefault="00AE7D30" w:rsidP="00471C6D">
      <w:pPr>
        <w:pStyle w:val="DKM2"/>
      </w:pPr>
      <w:bookmarkStart w:id="51" w:name="_Toc478116701"/>
      <w:r w:rsidRPr="002F7CF5">
        <w:t>Capital Receipts</w:t>
      </w:r>
      <w:bookmarkEnd w:id="51"/>
    </w:p>
    <w:p w14:paraId="64129744" w14:textId="151FCE76" w:rsidR="00AE7D30" w:rsidRPr="00E43A20" w:rsidRDefault="00AE7D30" w:rsidP="00E43A20">
      <w:pPr>
        <w:autoSpaceDE w:val="0"/>
        <w:autoSpaceDN w:val="0"/>
        <w:adjustRightInd w:val="0"/>
        <w:rPr>
          <w:rFonts w:cs="HelveticaNeue-Light"/>
          <w:sz w:val="20"/>
          <w:szCs w:val="20"/>
        </w:rPr>
      </w:pPr>
      <w:r w:rsidRPr="00E43A20">
        <w:rPr>
          <w:rFonts w:cs="HelveticaNeue-Light"/>
          <w:sz w:val="20"/>
          <w:szCs w:val="20"/>
        </w:rPr>
        <w:t>In 2016, the Government sold a stake in AIB worth €1.6</w:t>
      </w:r>
      <w:r w:rsidR="00A240E9">
        <w:rPr>
          <w:rFonts w:cs="HelveticaNeue-Light"/>
          <w:sz w:val="20"/>
          <w:szCs w:val="20"/>
        </w:rPr>
        <w:t xml:space="preserve"> billion</w:t>
      </w:r>
      <w:r w:rsidRPr="00E43A20">
        <w:rPr>
          <w:rStyle w:val="FootnoteReference"/>
          <w:rFonts w:cs="HelveticaNeue-Light"/>
          <w:sz w:val="20"/>
          <w:szCs w:val="20"/>
        </w:rPr>
        <w:footnoteReference w:id="79"/>
      </w:r>
      <w:r w:rsidRPr="00E43A20">
        <w:rPr>
          <w:rFonts w:cs="HelveticaNeue-Light"/>
          <w:sz w:val="20"/>
          <w:szCs w:val="20"/>
        </w:rPr>
        <w:t xml:space="preserve">. It is anticipated that the State’s share in Bank of Ireland will also be sold off in the coming years and the Government would have a number of options with respect to these proceeds. The resources accruing from this sale could be used to pay down debt, increase capital expenditure, or reserve the revenue for a rainy day. The Programme for a Partnership Government limits the value of AIB that the Government can sell off </w:t>
      </w:r>
      <w:r w:rsidR="00471C6D">
        <w:rPr>
          <w:rFonts w:cs="HelveticaNeue-Light"/>
          <w:sz w:val="20"/>
          <w:szCs w:val="20"/>
        </w:rPr>
        <w:t>to</w:t>
      </w:r>
      <w:r w:rsidRPr="00E43A20">
        <w:rPr>
          <w:rFonts w:cs="HelveticaNeue-Light"/>
          <w:sz w:val="20"/>
          <w:szCs w:val="20"/>
        </w:rPr>
        <w:t xml:space="preserve"> 25</w:t>
      </w:r>
      <w:r w:rsidR="00804C45">
        <w:rPr>
          <w:rFonts w:cs="HelveticaNeue-Light"/>
          <w:sz w:val="20"/>
          <w:szCs w:val="20"/>
        </w:rPr>
        <w:t xml:space="preserve"> per cent</w:t>
      </w:r>
      <w:r w:rsidRPr="00E43A20">
        <w:rPr>
          <w:rFonts w:cs="HelveticaNeue-Light"/>
          <w:sz w:val="20"/>
          <w:szCs w:val="20"/>
        </w:rPr>
        <w:t xml:space="preserve"> before 2018. On March 2</w:t>
      </w:r>
      <w:r w:rsidRPr="00E43A20">
        <w:rPr>
          <w:rFonts w:cs="HelveticaNeue-Light"/>
          <w:sz w:val="20"/>
          <w:szCs w:val="20"/>
          <w:vertAlign w:val="superscript"/>
        </w:rPr>
        <w:t>nd</w:t>
      </w:r>
      <w:r w:rsidRPr="00E43A20">
        <w:rPr>
          <w:rFonts w:cs="HelveticaNeue-Light"/>
          <w:sz w:val="20"/>
          <w:szCs w:val="20"/>
        </w:rPr>
        <w:t xml:space="preserve"> 2017, AIB proposed that it would pay a dividend of €250</w:t>
      </w:r>
      <w:r w:rsidR="00471C6D">
        <w:rPr>
          <w:rFonts w:cs="HelveticaNeue-Light"/>
          <w:sz w:val="20"/>
          <w:szCs w:val="20"/>
        </w:rPr>
        <w:t xml:space="preserve"> million</w:t>
      </w:r>
      <w:r w:rsidRPr="00E43A20">
        <w:rPr>
          <w:rFonts w:cs="HelveticaNeue-Light"/>
          <w:sz w:val="20"/>
          <w:szCs w:val="20"/>
        </w:rPr>
        <w:t xml:space="preserve"> to its shareholders. </w:t>
      </w:r>
    </w:p>
    <w:p w14:paraId="3841E6E4" w14:textId="77777777" w:rsidR="00AE7D30" w:rsidRPr="00E43A20" w:rsidRDefault="00AE7D30" w:rsidP="00E43A20">
      <w:pPr>
        <w:autoSpaceDE w:val="0"/>
        <w:autoSpaceDN w:val="0"/>
        <w:adjustRightInd w:val="0"/>
        <w:rPr>
          <w:rFonts w:cs="HelveticaNeue-Light"/>
          <w:sz w:val="20"/>
          <w:szCs w:val="20"/>
        </w:rPr>
      </w:pPr>
    </w:p>
    <w:p w14:paraId="534394D7" w14:textId="2EE2C307" w:rsidR="00AE7D30" w:rsidRDefault="00AE7D30" w:rsidP="00E43A20">
      <w:pPr>
        <w:autoSpaceDE w:val="0"/>
        <w:autoSpaceDN w:val="0"/>
        <w:adjustRightInd w:val="0"/>
        <w:rPr>
          <w:rFonts w:cs="HelveticaNeue-Light"/>
          <w:sz w:val="20"/>
          <w:szCs w:val="20"/>
        </w:rPr>
      </w:pPr>
      <w:r w:rsidRPr="00E43A20">
        <w:rPr>
          <w:rFonts w:cs="HelveticaNeue-Light"/>
          <w:sz w:val="20"/>
          <w:szCs w:val="20"/>
        </w:rPr>
        <w:t>Minister for Finance Michael Noonan indicated that this development could suggest that the conditions might now be appropriate to liquidate the State’s shareholding in the bank.</w:t>
      </w:r>
      <w:r w:rsidRPr="00E43A20">
        <w:rPr>
          <w:rStyle w:val="FootnoteReference"/>
          <w:rFonts w:cs="HelveticaNeue-Light"/>
          <w:sz w:val="20"/>
          <w:szCs w:val="20"/>
        </w:rPr>
        <w:footnoteReference w:id="80"/>
      </w:r>
      <w:r w:rsidRPr="00E43A20">
        <w:rPr>
          <w:rFonts w:cs="HelveticaNeue-Light"/>
          <w:sz w:val="20"/>
          <w:szCs w:val="20"/>
        </w:rPr>
        <w:t xml:space="preserve"> In the current climate, where significant underfunding of capital investment is causing bottlenecks (see </w:t>
      </w:r>
      <w:r w:rsidR="00804C45">
        <w:rPr>
          <w:rFonts w:cs="HelveticaNeue-Light"/>
          <w:sz w:val="20"/>
          <w:szCs w:val="20"/>
        </w:rPr>
        <w:t>S</w:t>
      </w:r>
      <w:r w:rsidRPr="00E43A20">
        <w:rPr>
          <w:rFonts w:cs="HelveticaNeue-Light"/>
          <w:sz w:val="20"/>
          <w:szCs w:val="20"/>
        </w:rPr>
        <w:t xml:space="preserve">ection 2), </w:t>
      </w:r>
      <w:r w:rsidR="00A240E9">
        <w:rPr>
          <w:rFonts w:cs="HelveticaNeue-Light"/>
          <w:sz w:val="20"/>
          <w:szCs w:val="20"/>
        </w:rPr>
        <w:t>any proceeds from the sale of State assets</w:t>
      </w:r>
      <w:r w:rsidRPr="00E43A20">
        <w:rPr>
          <w:rFonts w:cs="HelveticaNeue-Light"/>
          <w:sz w:val="20"/>
          <w:szCs w:val="20"/>
        </w:rPr>
        <w:t xml:space="preserve"> could be put to productive use and could support long-term economic growth. </w:t>
      </w:r>
    </w:p>
    <w:p w14:paraId="20891899" w14:textId="0BA7EDE3" w:rsidR="00E107BD" w:rsidRPr="00E107BD" w:rsidRDefault="00E107BD" w:rsidP="00A23D77">
      <w:pPr>
        <w:pStyle w:val="DKM2"/>
      </w:pPr>
      <w:bookmarkStart w:id="52" w:name="_Toc478116702"/>
      <w:r w:rsidRPr="00E107BD">
        <w:t>Public Private Partnership</w:t>
      </w:r>
      <w:r>
        <w:t>s</w:t>
      </w:r>
      <w:bookmarkEnd w:id="52"/>
    </w:p>
    <w:p w14:paraId="30D2B19D" w14:textId="77777777" w:rsidR="00513210" w:rsidRDefault="00E107BD" w:rsidP="00E107BD">
      <w:pPr>
        <w:rPr>
          <w:rFonts w:cs="Arial"/>
          <w:sz w:val="20"/>
          <w:szCs w:val="20"/>
        </w:rPr>
      </w:pPr>
      <w:r>
        <w:rPr>
          <w:rFonts w:cs="Arial"/>
          <w:sz w:val="20"/>
          <w:szCs w:val="20"/>
        </w:rPr>
        <w:t xml:space="preserve">PPP arrangements provide for long-term strategic planning of infrastructure projects. They provide an opportunity to fund major long-term infrastructure projects competitively off balance sheet while also facilitating social and economic development. In the context of the fiscal constraints which exist, it is understood that a group has recently been established within DEPR to review the future of PPPs. </w:t>
      </w:r>
      <w:r w:rsidR="00A240E9">
        <w:rPr>
          <w:rFonts w:cs="Arial"/>
          <w:sz w:val="20"/>
          <w:szCs w:val="20"/>
        </w:rPr>
        <w:t>This group should investigate the timely pre-procurement process involved on PPP projects to improve their efficiency</w:t>
      </w:r>
      <w:r w:rsidR="00513210">
        <w:rPr>
          <w:rFonts w:cs="Arial"/>
          <w:sz w:val="20"/>
          <w:szCs w:val="20"/>
        </w:rPr>
        <w:t>.</w:t>
      </w:r>
    </w:p>
    <w:p w14:paraId="378B4919" w14:textId="77777777" w:rsidR="00513210" w:rsidRPr="00513210" w:rsidRDefault="00513210" w:rsidP="007F3EDC">
      <w:pPr>
        <w:pStyle w:val="DKM2"/>
      </w:pPr>
      <w:bookmarkStart w:id="53" w:name="_Toc474830484"/>
      <w:bookmarkStart w:id="54" w:name="_Toc476732209"/>
      <w:bookmarkStart w:id="55" w:name="_Toc478116703"/>
      <w:r w:rsidRPr="00513210">
        <w:t>Investment Priorities for the Medium-Term</w:t>
      </w:r>
      <w:bookmarkEnd w:id="53"/>
      <w:bookmarkEnd w:id="54"/>
      <w:bookmarkEnd w:id="55"/>
    </w:p>
    <w:p w14:paraId="3465A67A" w14:textId="469B355D" w:rsidR="00E67EDC" w:rsidRDefault="00E67EDC" w:rsidP="00513210">
      <w:pPr>
        <w:rPr>
          <w:sz w:val="20"/>
          <w:szCs w:val="20"/>
        </w:rPr>
      </w:pPr>
      <w:r>
        <w:rPr>
          <w:sz w:val="20"/>
          <w:szCs w:val="20"/>
        </w:rPr>
        <w:t>Given the significant infrastructure bottlenecks which are constraining economic recovery, it is difficult to identify priority infrastructure projects. How does one prioritise between social housing, primary schools, hospitals, water supply, roads</w:t>
      </w:r>
      <w:r w:rsidR="00B23859">
        <w:rPr>
          <w:sz w:val="20"/>
          <w:szCs w:val="20"/>
        </w:rPr>
        <w:t>, public transport</w:t>
      </w:r>
      <w:r>
        <w:rPr>
          <w:sz w:val="20"/>
          <w:szCs w:val="20"/>
        </w:rPr>
        <w:t xml:space="preserve"> and broadband, for example.  This submission has outlined some of the existing bottlenecks </w:t>
      </w:r>
      <w:r w:rsidR="00F1719F">
        <w:rPr>
          <w:sz w:val="20"/>
          <w:szCs w:val="20"/>
        </w:rPr>
        <w:t>which are actively constraining economic output and</w:t>
      </w:r>
      <w:r>
        <w:rPr>
          <w:sz w:val="20"/>
          <w:szCs w:val="20"/>
        </w:rPr>
        <w:t xml:space="preserve"> has </w:t>
      </w:r>
      <w:r w:rsidR="00F1719F">
        <w:rPr>
          <w:sz w:val="20"/>
          <w:szCs w:val="20"/>
        </w:rPr>
        <w:t>set out</w:t>
      </w:r>
      <w:r>
        <w:rPr>
          <w:sz w:val="20"/>
          <w:szCs w:val="20"/>
        </w:rPr>
        <w:t xml:space="preserve"> why infrastructure investment is important</w:t>
      </w:r>
      <w:r w:rsidR="00B23859">
        <w:rPr>
          <w:sz w:val="20"/>
          <w:szCs w:val="20"/>
        </w:rPr>
        <w:t>.</w:t>
      </w:r>
      <w:r>
        <w:rPr>
          <w:sz w:val="20"/>
          <w:szCs w:val="20"/>
        </w:rPr>
        <w:t xml:space="preserve"> </w:t>
      </w:r>
    </w:p>
    <w:p w14:paraId="3AB06A8A" w14:textId="77777777" w:rsidR="00E67EDC" w:rsidRDefault="00E67EDC" w:rsidP="00513210">
      <w:pPr>
        <w:rPr>
          <w:sz w:val="20"/>
          <w:szCs w:val="20"/>
        </w:rPr>
      </w:pPr>
    </w:p>
    <w:p w14:paraId="5C4B1B6C" w14:textId="4F2EF38E" w:rsidR="00B23859" w:rsidRDefault="00B23859" w:rsidP="00B23859">
      <w:pPr>
        <w:pStyle w:val="NoSpacing"/>
        <w:spacing w:line="280" w:lineRule="atLeast"/>
        <w:jc w:val="both"/>
        <w:rPr>
          <w:bCs/>
          <w:sz w:val="20"/>
          <w:szCs w:val="20"/>
        </w:rPr>
      </w:pPr>
      <w:r>
        <w:rPr>
          <w:bCs/>
          <w:sz w:val="20"/>
          <w:szCs w:val="20"/>
        </w:rPr>
        <w:t xml:space="preserve">The CIF </w:t>
      </w:r>
      <w:r w:rsidRPr="009D368D">
        <w:rPr>
          <w:bCs/>
          <w:sz w:val="20"/>
          <w:szCs w:val="20"/>
        </w:rPr>
        <w:t>Submission prepared for Budget 2017 identified major transport project priorities which would be expected generate an economic return for the State</w:t>
      </w:r>
      <w:r w:rsidRPr="00B23859">
        <w:rPr>
          <w:b/>
          <w:bCs/>
          <w:sz w:val="20"/>
          <w:szCs w:val="20"/>
        </w:rPr>
        <w:t xml:space="preserve">. </w:t>
      </w:r>
      <w:r w:rsidRPr="00B23859">
        <w:rPr>
          <w:rStyle w:val="Strong"/>
          <w:b w:val="0"/>
          <w:sz w:val="20"/>
          <w:szCs w:val="20"/>
        </w:rPr>
        <w:t>The focus at the time was on transportation projects due to the existing capacity constraints in the road network that are inhibiting development and leading to observations, conditions and refusals for significant construction projects. By implication, the absence of these projects is hindering the economic recovery.</w:t>
      </w:r>
      <w:r w:rsidR="007F3EDC">
        <w:rPr>
          <w:rStyle w:val="Strong"/>
          <w:b w:val="0"/>
          <w:sz w:val="20"/>
          <w:szCs w:val="20"/>
        </w:rPr>
        <w:t xml:space="preserve"> </w:t>
      </w:r>
      <w:r w:rsidRPr="00B23859">
        <w:rPr>
          <w:rStyle w:val="Strong"/>
          <w:b w:val="0"/>
          <w:sz w:val="20"/>
          <w:szCs w:val="20"/>
        </w:rPr>
        <w:t xml:space="preserve">Moreover, it was noted that a number of large scale developments would be dependent on major transportation projects.  </w:t>
      </w:r>
    </w:p>
    <w:p w14:paraId="0E1B8B33" w14:textId="77777777" w:rsidR="00B23859" w:rsidRDefault="00B23859" w:rsidP="00B23859">
      <w:pPr>
        <w:pStyle w:val="NoSpacing"/>
        <w:spacing w:line="280" w:lineRule="atLeast"/>
        <w:jc w:val="both"/>
        <w:rPr>
          <w:bCs/>
          <w:sz w:val="20"/>
          <w:szCs w:val="20"/>
        </w:rPr>
      </w:pPr>
    </w:p>
    <w:p w14:paraId="140DDB0E" w14:textId="2A252E39" w:rsidR="00B23859" w:rsidRDefault="00B23859" w:rsidP="00B23859">
      <w:pPr>
        <w:rPr>
          <w:sz w:val="20"/>
          <w:szCs w:val="20"/>
        </w:rPr>
      </w:pPr>
      <w:r>
        <w:rPr>
          <w:sz w:val="20"/>
          <w:szCs w:val="20"/>
        </w:rPr>
        <w:t>However, i</w:t>
      </w:r>
      <w:r w:rsidRPr="00AD034C">
        <w:rPr>
          <w:sz w:val="20"/>
          <w:szCs w:val="20"/>
        </w:rPr>
        <w:t xml:space="preserve">t is acknowledged that the current project priorities are as provided for in the 2017 PCP. Many of these projects will have capital committed to them beyond 2017 and will thus remain a priority in the short and medium term, by virtue of the fact that they have already commenced. </w:t>
      </w:r>
      <w:r>
        <w:rPr>
          <w:sz w:val="20"/>
          <w:szCs w:val="20"/>
        </w:rPr>
        <w:t>The</w:t>
      </w:r>
      <w:r w:rsidRPr="00AD034C">
        <w:rPr>
          <w:sz w:val="20"/>
          <w:szCs w:val="20"/>
        </w:rPr>
        <w:t xml:space="preserve"> </w:t>
      </w:r>
      <w:r>
        <w:rPr>
          <w:sz w:val="20"/>
          <w:szCs w:val="20"/>
        </w:rPr>
        <w:t xml:space="preserve">mid-term review of the </w:t>
      </w:r>
      <w:r w:rsidRPr="00AD034C">
        <w:rPr>
          <w:sz w:val="20"/>
          <w:szCs w:val="20"/>
        </w:rPr>
        <w:t>Capital Plan current</w:t>
      </w:r>
      <w:r>
        <w:rPr>
          <w:sz w:val="20"/>
          <w:szCs w:val="20"/>
        </w:rPr>
        <w:t>ly</w:t>
      </w:r>
      <w:r w:rsidRPr="00AD034C">
        <w:rPr>
          <w:sz w:val="20"/>
          <w:szCs w:val="20"/>
        </w:rPr>
        <w:t xml:space="preserve"> </w:t>
      </w:r>
      <w:r>
        <w:rPr>
          <w:sz w:val="20"/>
          <w:szCs w:val="20"/>
        </w:rPr>
        <w:t>underway</w:t>
      </w:r>
      <w:r w:rsidRPr="00AD034C">
        <w:rPr>
          <w:sz w:val="20"/>
          <w:szCs w:val="20"/>
        </w:rPr>
        <w:t xml:space="preserve"> by DPER</w:t>
      </w:r>
      <w:r>
        <w:rPr>
          <w:sz w:val="20"/>
          <w:szCs w:val="20"/>
        </w:rPr>
        <w:t xml:space="preserve"> will reprioritise projects within the existing constrained capital envelope. Thus it is not intended here to provide a long list of infrastructure projects across the country which will need to compete for the limited funding which is available. One would expect that the selection of projects will be based on a robust economic analysis which will establish where the economic benefit exceeds the economic costs. More importantly, the focus should be on examining the scope available to government to </w:t>
      </w:r>
      <w:r w:rsidR="00F1719F">
        <w:rPr>
          <w:sz w:val="20"/>
          <w:szCs w:val="20"/>
        </w:rPr>
        <w:t>source additional funding for infrastructure investment, particularly from the European Fund for Strategic Investment (EFSI), which is looking for projects and locations to invest in where public budgets are constrained.</w:t>
      </w:r>
    </w:p>
    <w:p w14:paraId="5BB9F2F7" w14:textId="77777777" w:rsidR="00AE7D30" w:rsidRPr="006E0F31" w:rsidRDefault="00AE7D30" w:rsidP="00AE7D30">
      <w:pPr>
        <w:pStyle w:val="DKM2"/>
        <w:spacing w:line="276" w:lineRule="auto"/>
        <w:rPr>
          <w:rFonts w:asciiTheme="minorHAnsi" w:hAnsiTheme="minorHAnsi"/>
          <w:szCs w:val="24"/>
        </w:rPr>
      </w:pPr>
      <w:bookmarkStart w:id="56" w:name="_Toc476216236"/>
      <w:bookmarkStart w:id="57" w:name="_Toc478116704"/>
      <w:r w:rsidRPr="006E0F31">
        <w:rPr>
          <w:rFonts w:asciiTheme="minorHAnsi" w:hAnsiTheme="minorHAnsi"/>
          <w:szCs w:val="24"/>
        </w:rPr>
        <w:t>Recommendations</w:t>
      </w:r>
      <w:bookmarkEnd w:id="56"/>
      <w:bookmarkEnd w:id="57"/>
    </w:p>
    <w:p w14:paraId="670351CC" w14:textId="77777777" w:rsidR="00F32AFE" w:rsidRPr="00F35EE2" w:rsidRDefault="00F32AFE" w:rsidP="00BA2EBF">
      <w:pPr>
        <w:pStyle w:val="ListParagraph"/>
        <w:numPr>
          <w:ilvl w:val="0"/>
          <w:numId w:val="39"/>
        </w:numPr>
        <w:spacing w:after="0" w:line="280" w:lineRule="atLeast"/>
        <w:ind w:left="426"/>
        <w:jc w:val="both"/>
        <w:rPr>
          <w:sz w:val="20"/>
          <w:szCs w:val="20"/>
        </w:rPr>
      </w:pPr>
      <w:r w:rsidRPr="00F35EE2">
        <w:rPr>
          <w:sz w:val="20"/>
          <w:szCs w:val="20"/>
        </w:rPr>
        <w:t xml:space="preserve">Ireland has been a recipient of </w:t>
      </w:r>
      <w:r w:rsidRPr="00AD15F6">
        <w:rPr>
          <w:b/>
          <w:sz w:val="20"/>
          <w:szCs w:val="20"/>
        </w:rPr>
        <w:t>European Investment Bank</w:t>
      </w:r>
      <w:r w:rsidRPr="00F35EE2">
        <w:rPr>
          <w:sz w:val="20"/>
          <w:szCs w:val="20"/>
        </w:rPr>
        <w:t xml:space="preserve"> funding for a number of decades and in 2016 13 projects received total funding of €825m. This stream of funding is of huge value to the economy and Government efforts to secure EIB co-financing of major projects should continue. However, the flow of funds is uncertain and competition has increased in recent years (since Romania, Bulgaria and Croatia joined the EU). The CIF encourages the Government to leverage the presence of the new </w:t>
      </w:r>
      <w:r w:rsidRPr="00AD15F6">
        <w:rPr>
          <w:sz w:val="20"/>
          <w:szCs w:val="20"/>
        </w:rPr>
        <w:t>EIB office in Dublin</w:t>
      </w:r>
      <w:r w:rsidRPr="00F35EE2">
        <w:rPr>
          <w:sz w:val="20"/>
          <w:szCs w:val="20"/>
        </w:rPr>
        <w:t xml:space="preserve"> in its efforts to find ways to fund major infrastructure projects.</w:t>
      </w:r>
    </w:p>
    <w:p w14:paraId="30DEA154" w14:textId="77777777" w:rsidR="00F32AFE" w:rsidRDefault="00F32AFE" w:rsidP="00BA2EBF">
      <w:pPr>
        <w:ind w:left="426"/>
        <w:rPr>
          <w:sz w:val="20"/>
          <w:szCs w:val="20"/>
        </w:rPr>
      </w:pPr>
    </w:p>
    <w:p w14:paraId="76C1C0F9" w14:textId="77777777" w:rsidR="00F35EE2" w:rsidRPr="00F35EE2" w:rsidRDefault="00F35EE2" w:rsidP="00BA2EBF">
      <w:pPr>
        <w:pStyle w:val="ListParagraph"/>
        <w:numPr>
          <w:ilvl w:val="0"/>
          <w:numId w:val="39"/>
        </w:numPr>
        <w:spacing w:after="0" w:line="280" w:lineRule="atLeast"/>
        <w:ind w:left="426"/>
        <w:jc w:val="both"/>
        <w:rPr>
          <w:rFonts w:cs="Arial"/>
          <w:sz w:val="20"/>
          <w:szCs w:val="20"/>
        </w:rPr>
      </w:pPr>
      <w:r w:rsidRPr="00BA2EBF">
        <w:rPr>
          <w:rFonts w:cs="Arial"/>
          <w:b/>
          <w:sz w:val="20"/>
          <w:szCs w:val="20"/>
        </w:rPr>
        <w:t>PPP arrangements</w:t>
      </w:r>
      <w:r w:rsidRPr="00F35EE2">
        <w:rPr>
          <w:rFonts w:cs="Arial"/>
          <w:sz w:val="20"/>
          <w:szCs w:val="20"/>
        </w:rPr>
        <w:t xml:space="preserve"> provide for long-term strategic planning of infrastructure projects. They provide an opportunity to fund major long-term infrastructure projects competitively off balance sheet while also facilitating social and economic development. In the context of the fiscal constraints which exist, it is understood that a group has recently been established within DEPR to review the future of PPPs. This group should investigate the timely pre-procurement process involved on PPP projects to improve their efficiency  </w:t>
      </w:r>
    </w:p>
    <w:p w14:paraId="09A7E480" w14:textId="77777777" w:rsidR="00F32AFE" w:rsidRDefault="00F32AFE" w:rsidP="00BA2EBF">
      <w:pPr>
        <w:ind w:left="426"/>
        <w:rPr>
          <w:sz w:val="20"/>
          <w:szCs w:val="20"/>
        </w:rPr>
      </w:pPr>
    </w:p>
    <w:p w14:paraId="350A4B7E" w14:textId="77777777" w:rsidR="00C91367" w:rsidRPr="00C91367" w:rsidRDefault="00C91367" w:rsidP="00BA2EBF">
      <w:pPr>
        <w:pStyle w:val="ListParagraph"/>
        <w:numPr>
          <w:ilvl w:val="0"/>
          <w:numId w:val="39"/>
        </w:numPr>
        <w:spacing w:after="0" w:line="280" w:lineRule="atLeast"/>
        <w:ind w:left="426"/>
        <w:jc w:val="both"/>
        <w:rPr>
          <w:rFonts w:asciiTheme="minorHAnsi" w:hAnsiTheme="minorHAnsi"/>
          <w:sz w:val="20"/>
          <w:szCs w:val="20"/>
        </w:rPr>
      </w:pPr>
      <w:r w:rsidRPr="00C91367">
        <w:rPr>
          <w:sz w:val="20"/>
          <w:szCs w:val="20"/>
        </w:rPr>
        <w:t xml:space="preserve">Every effort should be made to explore the scope to secure as much additional funding as possible for infrastructure investment from the </w:t>
      </w:r>
      <w:r w:rsidRPr="00AD15F6">
        <w:rPr>
          <w:b/>
          <w:sz w:val="20"/>
          <w:szCs w:val="20"/>
        </w:rPr>
        <w:t>European Fund for Strategic Investment</w:t>
      </w:r>
      <w:r w:rsidRPr="00C91367">
        <w:rPr>
          <w:sz w:val="20"/>
          <w:szCs w:val="20"/>
        </w:rPr>
        <w:t xml:space="preserve"> (EFSI). Key areas which the EFSI fund include transport, environment, health, energy and social housing. In regard to the latter the ESFI has set up a </w:t>
      </w:r>
      <w:r w:rsidRPr="00AD15F6">
        <w:rPr>
          <w:sz w:val="20"/>
          <w:szCs w:val="20"/>
        </w:rPr>
        <w:t>High Level Task Force</w:t>
      </w:r>
      <w:r w:rsidRPr="00C91367">
        <w:rPr>
          <w:sz w:val="20"/>
          <w:szCs w:val="20"/>
        </w:rPr>
        <w:t xml:space="preserve"> to develop financing models for social infrastructure</w:t>
      </w:r>
      <w:r>
        <w:rPr>
          <w:sz w:val="20"/>
          <w:szCs w:val="20"/>
        </w:rPr>
        <w:t>, an area in which the EFSI is keen to finance projects in the future and is already doing so in other countries.</w:t>
      </w:r>
    </w:p>
    <w:p w14:paraId="5D689BA6" w14:textId="77777777" w:rsidR="00C91367" w:rsidRPr="00C91367" w:rsidRDefault="00C91367" w:rsidP="00BA2EBF">
      <w:pPr>
        <w:pStyle w:val="ListParagraph"/>
        <w:spacing w:after="0" w:line="280" w:lineRule="atLeast"/>
        <w:ind w:left="426"/>
        <w:rPr>
          <w:sz w:val="20"/>
          <w:szCs w:val="20"/>
        </w:rPr>
      </w:pPr>
    </w:p>
    <w:p w14:paraId="59ED6BBD" w14:textId="77777777" w:rsidR="00CA36AC" w:rsidRPr="007B3AB8" w:rsidRDefault="00CA36AC" w:rsidP="00BA2EBF">
      <w:pPr>
        <w:pStyle w:val="DKMBodyText"/>
        <w:ind w:left="426"/>
        <w:rPr>
          <w:rFonts w:asciiTheme="minorHAnsi" w:hAnsiTheme="minorHAnsi"/>
        </w:rPr>
      </w:pPr>
    </w:p>
    <w:p w14:paraId="7E1DA00F" w14:textId="64833E95" w:rsidR="00C47170" w:rsidRDefault="00C47170" w:rsidP="00BA2EBF">
      <w:pPr>
        <w:pStyle w:val="ListParagraph"/>
        <w:numPr>
          <w:ilvl w:val="0"/>
          <w:numId w:val="39"/>
        </w:numPr>
        <w:spacing w:after="0" w:line="280" w:lineRule="atLeast"/>
        <w:ind w:left="426"/>
      </w:pPr>
      <w:r>
        <w:br w:type="page"/>
      </w:r>
    </w:p>
    <w:p w14:paraId="1B8B680E" w14:textId="7D55D8B4" w:rsidR="00C47170" w:rsidRPr="00C47170" w:rsidRDefault="00C47170" w:rsidP="00C47170">
      <w:pPr>
        <w:pStyle w:val="DKM1"/>
        <w:spacing w:after="120"/>
        <w:rPr>
          <w:sz w:val="24"/>
          <w:szCs w:val="24"/>
        </w:rPr>
      </w:pPr>
      <w:bookmarkStart w:id="58" w:name="_Toc478116705"/>
      <w:r w:rsidRPr="00C47170">
        <w:rPr>
          <w:sz w:val="24"/>
          <w:szCs w:val="24"/>
        </w:rPr>
        <w:t>Appendix 1: Capital Plan Allocations for 2016-2021</w:t>
      </w:r>
      <w:bookmarkEnd w:id="58"/>
    </w:p>
    <w:tbl>
      <w:tblPr>
        <w:tblStyle w:val="ColorfulList-Accent1"/>
        <w:tblW w:w="949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423"/>
        <w:gridCol w:w="5675"/>
      </w:tblGrid>
      <w:tr w:rsidR="00C47170" w:rsidRPr="00C613D8" w14:paraId="459EA825" w14:textId="77777777" w:rsidTr="00F809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tcPr>
          <w:p w14:paraId="4E23A86B" w14:textId="77777777" w:rsidR="00C47170" w:rsidRPr="00C613D8" w:rsidRDefault="00C47170" w:rsidP="00485057">
            <w:pPr>
              <w:spacing w:line="240" w:lineRule="auto"/>
              <w:rPr>
                <w:sz w:val="16"/>
                <w:szCs w:val="16"/>
              </w:rPr>
            </w:pPr>
            <w:r w:rsidRPr="00C613D8">
              <w:rPr>
                <w:sz w:val="16"/>
                <w:szCs w:val="16"/>
              </w:rPr>
              <w:t>Main Areas of Investment</w:t>
            </w:r>
          </w:p>
        </w:tc>
        <w:tc>
          <w:tcPr>
            <w:tcW w:w="1423" w:type="dxa"/>
          </w:tcPr>
          <w:p w14:paraId="4900E7B6" w14:textId="77777777" w:rsidR="00C47170" w:rsidRPr="00C613D8" w:rsidRDefault="00C47170" w:rsidP="0048505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C613D8">
              <w:rPr>
                <w:sz w:val="16"/>
                <w:szCs w:val="16"/>
              </w:rPr>
              <w:t xml:space="preserve">Investment </w:t>
            </w:r>
          </w:p>
        </w:tc>
        <w:tc>
          <w:tcPr>
            <w:tcW w:w="5675" w:type="dxa"/>
          </w:tcPr>
          <w:p w14:paraId="42C61EF6" w14:textId="77777777" w:rsidR="00C47170" w:rsidRPr="00C613D8" w:rsidRDefault="00C47170" w:rsidP="00485057">
            <w:pPr>
              <w:spacing w:line="240" w:lineRule="auto"/>
              <w:contextualSpacing/>
              <w:cnfStyle w:val="100000000000" w:firstRow="1" w:lastRow="0" w:firstColumn="0" w:lastColumn="0" w:oddVBand="0" w:evenVBand="0" w:oddHBand="0" w:evenHBand="0" w:firstRowFirstColumn="0" w:firstRowLastColumn="0" w:lastRowFirstColumn="0" w:lastRowLastColumn="0"/>
              <w:rPr>
                <w:sz w:val="16"/>
                <w:szCs w:val="16"/>
              </w:rPr>
            </w:pPr>
            <w:r w:rsidRPr="00C613D8">
              <w:rPr>
                <w:sz w:val="16"/>
                <w:szCs w:val="16"/>
              </w:rPr>
              <w:t>Priority Areas/Key Projects 2016-2021</w:t>
            </w:r>
          </w:p>
        </w:tc>
      </w:tr>
      <w:tr w:rsidR="00C47170" w:rsidRPr="00C613D8" w14:paraId="2BBA390F" w14:textId="77777777" w:rsidTr="00F809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tcPr>
          <w:p w14:paraId="72A5790B" w14:textId="77777777" w:rsidR="00C47170" w:rsidRPr="00C613D8" w:rsidRDefault="00C47170" w:rsidP="00485057">
            <w:pPr>
              <w:spacing w:line="240" w:lineRule="auto"/>
              <w:rPr>
                <w:b/>
                <w:sz w:val="16"/>
                <w:szCs w:val="16"/>
              </w:rPr>
            </w:pPr>
            <w:r w:rsidRPr="00C613D8">
              <w:rPr>
                <w:b/>
                <w:sz w:val="16"/>
                <w:szCs w:val="16"/>
              </w:rPr>
              <w:t>Public Sector Infrastructure</w:t>
            </w:r>
          </w:p>
          <w:p w14:paraId="51218086" w14:textId="77777777" w:rsidR="00C47170" w:rsidRPr="00C613D8" w:rsidRDefault="00C47170" w:rsidP="00485057">
            <w:pPr>
              <w:spacing w:line="240" w:lineRule="auto"/>
              <w:rPr>
                <w:b/>
                <w:sz w:val="16"/>
                <w:szCs w:val="16"/>
              </w:rPr>
            </w:pPr>
          </w:p>
          <w:p w14:paraId="0D4C7351" w14:textId="77777777" w:rsidR="00C47170" w:rsidRPr="00C613D8" w:rsidRDefault="00C47170" w:rsidP="000373A6">
            <w:pPr>
              <w:pStyle w:val="ListParagraph"/>
              <w:numPr>
                <w:ilvl w:val="0"/>
                <w:numId w:val="16"/>
              </w:numPr>
              <w:spacing w:after="0" w:line="240" w:lineRule="auto"/>
              <w:ind w:left="308" w:hanging="239"/>
              <w:rPr>
                <w:rFonts w:asciiTheme="minorHAnsi" w:hAnsiTheme="minorHAnsi"/>
                <w:sz w:val="16"/>
                <w:szCs w:val="16"/>
              </w:rPr>
            </w:pPr>
            <w:r w:rsidRPr="00C613D8">
              <w:rPr>
                <w:rFonts w:asciiTheme="minorHAnsi" w:hAnsiTheme="minorHAnsi"/>
                <w:sz w:val="16"/>
                <w:szCs w:val="16"/>
              </w:rPr>
              <w:t>Exchequer Funding</w:t>
            </w:r>
          </w:p>
          <w:p w14:paraId="48F0ADB6" w14:textId="77777777" w:rsidR="00C47170" w:rsidRPr="00C613D8" w:rsidRDefault="00C47170" w:rsidP="000373A6">
            <w:pPr>
              <w:pStyle w:val="ListParagraph"/>
              <w:numPr>
                <w:ilvl w:val="0"/>
                <w:numId w:val="16"/>
              </w:numPr>
              <w:spacing w:after="0" w:line="240" w:lineRule="auto"/>
              <w:ind w:left="308" w:hanging="239"/>
              <w:rPr>
                <w:rFonts w:asciiTheme="minorHAnsi" w:hAnsiTheme="minorHAnsi"/>
                <w:sz w:val="16"/>
                <w:szCs w:val="16"/>
              </w:rPr>
            </w:pPr>
            <w:r w:rsidRPr="00C613D8">
              <w:rPr>
                <w:rFonts w:asciiTheme="minorHAnsi" w:hAnsiTheme="minorHAnsi"/>
                <w:sz w:val="16"/>
                <w:szCs w:val="16"/>
              </w:rPr>
              <w:t>State-owned investment</w:t>
            </w:r>
          </w:p>
          <w:p w14:paraId="5444FD4D" w14:textId="77777777" w:rsidR="00C47170" w:rsidRPr="00C613D8" w:rsidRDefault="00C47170" w:rsidP="000373A6">
            <w:pPr>
              <w:pStyle w:val="ListParagraph"/>
              <w:numPr>
                <w:ilvl w:val="0"/>
                <w:numId w:val="16"/>
              </w:numPr>
              <w:spacing w:after="0" w:line="240" w:lineRule="auto"/>
              <w:ind w:left="308" w:hanging="239"/>
              <w:rPr>
                <w:rFonts w:asciiTheme="minorHAnsi" w:hAnsiTheme="minorHAnsi"/>
                <w:b/>
                <w:sz w:val="16"/>
                <w:szCs w:val="16"/>
              </w:rPr>
            </w:pPr>
            <w:r w:rsidRPr="00C613D8">
              <w:rPr>
                <w:rFonts w:asciiTheme="minorHAnsi" w:hAnsiTheme="minorHAnsi"/>
                <w:sz w:val="16"/>
                <w:szCs w:val="16"/>
              </w:rPr>
              <w:t>PPPs</w:t>
            </w:r>
          </w:p>
        </w:tc>
        <w:tc>
          <w:tcPr>
            <w:tcW w:w="1423" w:type="dxa"/>
          </w:tcPr>
          <w:p w14:paraId="75B6592C" w14:textId="77777777" w:rsidR="00C47170" w:rsidRPr="00C613D8" w:rsidRDefault="00C47170" w:rsidP="00485057">
            <w:pPr>
              <w:spacing w:line="240" w:lineRule="auto"/>
              <w:ind w:left="360"/>
              <w:cnfStyle w:val="000000100000" w:firstRow="0" w:lastRow="0" w:firstColumn="0" w:lastColumn="0" w:oddVBand="0" w:evenVBand="0" w:oddHBand="1" w:evenHBand="0" w:firstRowFirstColumn="0" w:firstRowLastColumn="0" w:lastRowFirstColumn="0" w:lastRowLastColumn="0"/>
              <w:rPr>
                <w:sz w:val="16"/>
                <w:szCs w:val="16"/>
              </w:rPr>
            </w:pPr>
            <w:r w:rsidRPr="00C613D8">
              <w:rPr>
                <w:b/>
                <w:sz w:val="16"/>
                <w:szCs w:val="16"/>
              </w:rPr>
              <w:t>€42bn</w:t>
            </w:r>
            <w:r w:rsidRPr="00C613D8">
              <w:rPr>
                <w:sz w:val="16"/>
                <w:szCs w:val="16"/>
              </w:rPr>
              <w:t xml:space="preserve"> (+€4bn)</w:t>
            </w:r>
          </w:p>
          <w:p w14:paraId="6F87E3E5" w14:textId="77777777" w:rsidR="00C47170" w:rsidRPr="00C613D8" w:rsidRDefault="00C47170" w:rsidP="00485057">
            <w:pPr>
              <w:spacing w:line="240" w:lineRule="auto"/>
              <w:ind w:left="360"/>
              <w:cnfStyle w:val="000000100000" w:firstRow="0" w:lastRow="0" w:firstColumn="0" w:lastColumn="0" w:oddVBand="0" w:evenVBand="0" w:oddHBand="1" w:evenHBand="0" w:firstRowFirstColumn="0" w:firstRowLastColumn="0" w:lastRowFirstColumn="0" w:lastRowLastColumn="0"/>
              <w:rPr>
                <w:sz w:val="16"/>
                <w:szCs w:val="16"/>
              </w:rPr>
            </w:pPr>
            <w:r w:rsidRPr="00C613D8">
              <w:rPr>
                <w:sz w:val="16"/>
                <w:szCs w:val="16"/>
              </w:rPr>
              <w:t>€27bn</w:t>
            </w:r>
          </w:p>
          <w:p w14:paraId="4B3EAC38" w14:textId="77777777" w:rsidR="00C47170" w:rsidRPr="00C613D8" w:rsidRDefault="00C47170" w:rsidP="00485057">
            <w:pPr>
              <w:spacing w:line="240" w:lineRule="auto"/>
              <w:ind w:left="360"/>
              <w:cnfStyle w:val="000000100000" w:firstRow="0" w:lastRow="0" w:firstColumn="0" w:lastColumn="0" w:oddVBand="0" w:evenVBand="0" w:oddHBand="1" w:evenHBand="0" w:firstRowFirstColumn="0" w:firstRowLastColumn="0" w:lastRowFirstColumn="0" w:lastRowLastColumn="0"/>
              <w:rPr>
                <w:sz w:val="16"/>
                <w:szCs w:val="16"/>
              </w:rPr>
            </w:pPr>
            <w:r w:rsidRPr="00C613D8">
              <w:rPr>
                <w:sz w:val="16"/>
                <w:szCs w:val="16"/>
              </w:rPr>
              <w:t xml:space="preserve">€14.5bn </w:t>
            </w:r>
          </w:p>
          <w:p w14:paraId="3E61CD11" w14:textId="77777777" w:rsidR="00C47170" w:rsidRPr="00C613D8" w:rsidRDefault="00C47170" w:rsidP="00485057">
            <w:pPr>
              <w:spacing w:line="240" w:lineRule="auto"/>
              <w:ind w:left="360"/>
              <w:cnfStyle w:val="000000100000" w:firstRow="0" w:lastRow="0" w:firstColumn="0" w:lastColumn="0" w:oddVBand="0" w:evenVBand="0" w:oddHBand="1" w:evenHBand="0" w:firstRowFirstColumn="0" w:firstRowLastColumn="0" w:lastRowFirstColumn="0" w:lastRowLastColumn="0"/>
              <w:rPr>
                <w:sz w:val="16"/>
                <w:szCs w:val="16"/>
              </w:rPr>
            </w:pPr>
            <w:r w:rsidRPr="00C613D8">
              <w:rPr>
                <w:sz w:val="16"/>
                <w:szCs w:val="16"/>
              </w:rPr>
              <w:t xml:space="preserve">€0.5bn </w:t>
            </w:r>
          </w:p>
        </w:tc>
        <w:tc>
          <w:tcPr>
            <w:tcW w:w="5675" w:type="dxa"/>
          </w:tcPr>
          <w:p w14:paraId="4904CE28" w14:textId="77777777" w:rsidR="00C47170" w:rsidRPr="00C613D8" w:rsidRDefault="00C47170" w:rsidP="00485057">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HelveticaNeue-Light"/>
                <w:sz w:val="16"/>
                <w:szCs w:val="16"/>
              </w:rPr>
            </w:pPr>
            <w:r w:rsidRPr="00C613D8">
              <w:rPr>
                <w:rFonts w:cs="HelveticaNeue-Light"/>
                <w:sz w:val="16"/>
                <w:szCs w:val="16"/>
              </w:rPr>
              <w:t>Total Capital Plan is expected to support in the region of 45,000 jobs over six years, excluding the additional €7bn allocated in the 2017 Budgetary projections to 2021.</w:t>
            </w:r>
          </w:p>
          <w:p w14:paraId="5865AB39" w14:textId="77777777" w:rsidR="00C47170" w:rsidRPr="00C613D8" w:rsidRDefault="00C47170" w:rsidP="00485057">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HelveticaNeue-Light"/>
                <w:sz w:val="16"/>
                <w:szCs w:val="16"/>
              </w:rPr>
            </w:pPr>
            <w:r w:rsidRPr="00C613D8">
              <w:rPr>
                <w:rFonts w:cs="HelveticaNeue-Light"/>
                <w:sz w:val="16"/>
                <w:szCs w:val="16"/>
              </w:rPr>
              <w:t>This excludes the additional €7bn in the 2017 Budget.</w:t>
            </w:r>
          </w:p>
          <w:p w14:paraId="4F66899D" w14:textId="77777777" w:rsidR="00C47170" w:rsidRPr="00C613D8" w:rsidRDefault="00C47170" w:rsidP="00485057">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HelveticaNeue-Light"/>
                <w:sz w:val="16"/>
                <w:szCs w:val="16"/>
              </w:rPr>
            </w:pPr>
            <w:r w:rsidRPr="00C613D8">
              <w:rPr>
                <w:rFonts w:cs="HelveticaNeue-Light"/>
                <w:sz w:val="16"/>
                <w:szCs w:val="16"/>
              </w:rPr>
              <w:t xml:space="preserve">The total capital investment associated with the key areas/projects listed below amounts to €32.7bn over the six years 2016-2021, including an updated figure for housing from the Housing Action Plan. </w:t>
            </w:r>
          </w:p>
        </w:tc>
      </w:tr>
      <w:tr w:rsidR="00C47170" w:rsidRPr="00C613D8" w14:paraId="110478EF" w14:textId="77777777" w:rsidTr="00F809C8">
        <w:trPr>
          <w:trHeight w:val="20"/>
        </w:trPr>
        <w:tc>
          <w:tcPr>
            <w:cnfStyle w:val="001000000000" w:firstRow="0" w:lastRow="0" w:firstColumn="1" w:lastColumn="0" w:oddVBand="0" w:evenVBand="0" w:oddHBand="0" w:evenHBand="0" w:firstRowFirstColumn="0" w:firstRowLastColumn="0" w:lastRowFirstColumn="0" w:lastRowLastColumn="0"/>
            <w:tcW w:w="2400" w:type="dxa"/>
          </w:tcPr>
          <w:p w14:paraId="222BB2F1" w14:textId="77777777" w:rsidR="00C47170" w:rsidRPr="00C613D8" w:rsidRDefault="00C47170" w:rsidP="00485057">
            <w:pPr>
              <w:spacing w:line="240" w:lineRule="auto"/>
              <w:jc w:val="left"/>
              <w:rPr>
                <w:b/>
                <w:sz w:val="16"/>
                <w:szCs w:val="16"/>
              </w:rPr>
            </w:pPr>
            <w:r w:rsidRPr="00C613D8">
              <w:rPr>
                <w:b/>
                <w:sz w:val="16"/>
                <w:szCs w:val="16"/>
              </w:rPr>
              <w:t>Energy Transmission and Distribution Networks</w:t>
            </w:r>
          </w:p>
        </w:tc>
        <w:tc>
          <w:tcPr>
            <w:tcW w:w="1423" w:type="dxa"/>
          </w:tcPr>
          <w:p w14:paraId="017C8DC3" w14:textId="77777777" w:rsidR="00C47170" w:rsidRPr="00C613D8" w:rsidRDefault="00C47170" w:rsidP="00485057">
            <w:pPr>
              <w:spacing w:line="240" w:lineRule="auto"/>
              <w:ind w:left="360"/>
              <w:cnfStyle w:val="000000000000" w:firstRow="0" w:lastRow="0" w:firstColumn="0" w:lastColumn="0" w:oddVBand="0" w:evenVBand="0" w:oddHBand="0" w:evenHBand="0" w:firstRowFirstColumn="0" w:firstRowLastColumn="0" w:lastRowFirstColumn="0" w:lastRowLastColumn="0"/>
              <w:rPr>
                <w:b/>
                <w:sz w:val="16"/>
                <w:szCs w:val="16"/>
              </w:rPr>
            </w:pPr>
            <w:r w:rsidRPr="00C613D8">
              <w:rPr>
                <w:b/>
                <w:sz w:val="16"/>
                <w:szCs w:val="16"/>
              </w:rPr>
              <w:t>€5.75bn</w:t>
            </w:r>
          </w:p>
          <w:p w14:paraId="22572CE3" w14:textId="77777777" w:rsidR="00C47170" w:rsidRPr="00C613D8" w:rsidRDefault="00C47170" w:rsidP="00485057">
            <w:pPr>
              <w:spacing w:line="240" w:lineRule="auto"/>
              <w:ind w:left="39"/>
              <w:jc w:val="left"/>
              <w:cnfStyle w:val="000000000000" w:firstRow="0" w:lastRow="0" w:firstColumn="0" w:lastColumn="0" w:oddVBand="0" w:evenVBand="0" w:oddHBand="0" w:evenHBand="0" w:firstRowFirstColumn="0" w:firstRowLastColumn="0" w:lastRowFirstColumn="0" w:lastRowLastColumn="0"/>
              <w:rPr>
                <w:sz w:val="16"/>
                <w:szCs w:val="16"/>
              </w:rPr>
            </w:pPr>
            <w:r w:rsidRPr="00C613D8">
              <w:rPr>
                <w:sz w:val="16"/>
                <w:szCs w:val="16"/>
              </w:rPr>
              <w:t>by ESB, Ervia, Bord Na Móna, Eirgrid</w:t>
            </w:r>
          </w:p>
        </w:tc>
        <w:tc>
          <w:tcPr>
            <w:tcW w:w="5675" w:type="dxa"/>
          </w:tcPr>
          <w:p w14:paraId="0561B90A" w14:textId="77777777" w:rsidR="00C47170" w:rsidRPr="00C613D8" w:rsidRDefault="00C47170" w:rsidP="000373A6">
            <w:pPr>
              <w:pStyle w:val="ListParagraph"/>
              <w:numPr>
                <w:ilvl w:val="0"/>
                <w:numId w:val="17"/>
              </w:numPr>
              <w:autoSpaceDE w:val="0"/>
              <w:autoSpaceDN w:val="0"/>
              <w:adjustRightInd w:val="0"/>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613D8">
              <w:rPr>
                <w:rFonts w:asciiTheme="minorHAnsi" w:hAnsiTheme="minorHAnsi" w:cs="HelveticaNeue-Light"/>
                <w:sz w:val="16"/>
                <w:szCs w:val="16"/>
              </w:rPr>
              <w:t>North-South Transmission Line – a second electricity interconnector between Ireland and Northern Ireland; Smart Metering; Grid Link and Grid West – to increase the grid capacity and secure electricity supply to the south and east of Ireland and the west of Ireland, respectively;</w:t>
            </w:r>
          </w:p>
        </w:tc>
      </w:tr>
      <w:tr w:rsidR="00C47170" w:rsidRPr="00C613D8" w14:paraId="6EBDC85E" w14:textId="77777777" w:rsidTr="00F809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tcPr>
          <w:p w14:paraId="73A01ECF" w14:textId="77777777" w:rsidR="00C47170" w:rsidRPr="00C613D8" w:rsidRDefault="00C47170" w:rsidP="00485057">
            <w:pPr>
              <w:spacing w:line="240" w:lineRule="auto"/>
              <w:jc w:val="left"/>
              <w:rPr>
                <w:b/>
                <w:sz w:val="16"/>
                <w:szCs w:val="16"/>
              </w:rPr>
            </w:pPr>
            <w:r w:rsidRPr="00C613D8">
              <w:rPr>
                <w:b/>
                <w:sz w:val="16"/>
                <w:szCs w:val="16"/>
              </w:rPr>
              <w:t>Water and Wastewater quality and capacity</w:t>
            </w:r>
          </w:p>
        </w:tc>
        <w:tc>
          <w:tcPr>
            <w:tcW w:w="1423" w:type="dxa"/>
          </w:tcPr>
          <w:p w14:paraId="60CAD34F" w14:textId="77777777" w:rsidR="00C47170" w:rsidRPr="00C613D8" w:rsidRDefault="00C47170" w:rsidP="00485057">
            <w:pPr>
              <w:spacing w:line="240" w:lineRule="auto"/>
              <w:ind w:left="360"/>
              <w:cnfStyle w:val="000000100000" w:firstRow="0" w:lastRow="0" w:firstColumn="0" w:lastColumn="0" w:oddVBand="0" w:evenVBand="0" w:oddHBand="1" w:evenHBand="0" w:firstRowFirstColumn="0" w:firstRowLastColumn="0" w:lastRowFirstColumn="0" w:lastRowLastColumn="0"/>
              <w:rPr>
                <w:b/>
                <w:sz w:val="16"/>
                <w:szCs w:val="16"/>
              </w:rPr>
            </w:pPr>
            <w:r w:rsidRPr="00C613D8">
              <w:rPr>
                <w:b/>
                <w:sz w:val="16"/>
                <w:szCs w:val="16"/>
              </w:rPr>
              <w:t>€4bn</w:t>
            </w:r>
          </w:p>
          <w:p w14:paraId="601979B4" w14:textId="77777777" w:rsidR="00C47170" w:rsidRPr="00C613D8" w:rsidRDefault="00C47170" w:rsidP="00485057">
            <w:pPr>
              <w:spacing w:line="240" w:lineRule="auto"/>
              <w:ind w:left="39"/>
              <w:jc w:val="left"/>
              <w:cnfStyle w:val="000000100000" w:firstRow="0" w:lastRow="0" w:firstColumn="0" w:lastColumn="0" w:oddVBand="0" w:evenVBand="0" w:oddHBand="1" w:evenHBand="0" w:firstRowFirstColumn="0" w:firstRowLastColumn="0" w:lastRowFirstColumn="0" w:lastRowLastColumn="0"/>
              <w:rPr>
                <w:sz w:val="16"/>
                <w:szCs w:val="16"/>
              </w:rPr>
            </w:pPr>
            <w:r w:rsidRPr="00C613D8">
              <w:rPr>
                <w:sz w:val="16"/>
                <w:szCs w:val="16"/>
              </w:rPr>
              <w:t xml:space="preserve"> by Irish Water</w:t>
            </w:r>
          </w:p>
        </w:tc>
        <w:tc>
          <w:tcPr>
            <w:tcW w:w="5675" w:type="dxa"/>
          </w:tcPr>
          <w:p w14:paraId="4C5EDFD5" w14:textId="77777777" w:rsidR="00C47170" w:rsidRPr="00C613D8" w:rsidRDefault="00C47170" w:rsidP="000373A6">
            <w:pPr>
              <w:pStyle w:val="ListParagraph"/>
              <w:numPr>
                <w:ilvl w:val="0"/>
                <w:numId w:val="17"/>
              </w:numPr>
              <w:autoSpaceDE w:val="0"/>
              <w:autoSpaceDN w:val="0"/>
              <w:adjustRightInd w:val="0"/>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613D8">
              <w:rPr>
                <w:rFonts w:asciiTheme="minorHAnsi" w:hAnsiTheme="minorHAnsi" w:cs="HelveticaNeue-Light"/>
                <w:sz w:val="16"/>
                <w:szCs w:val="16"/>
              </w:rPr>
              <w:t>To address the deficits in drinking water quality and capacity, wastewater quality and capacity, and repair much of the infrastructure;</w:t>
            </w:r>
          </w:p>
        </w:tc>
      </w:tr>
      <w:tr w:rsidR="00C47170" w:rsidRPr="00C613D8" w14:paraId="08BB9276" w14:textId="77777777" w:rsidTr="00F809C8">
        <w:trPr>
          <w:trHeight w:val="20"/>
        </w:trPr>
        <w:tc>
          <w:tcPr>
            <w:cnfStyle w:val="001000000000" w:firstRow="0" w:lastRow="0" w:firstColumn="1" w:lastColumn="0" w:oddVBand="0" w:evenVBand="0" w:oddHBand="0" w:evenHBand="0" w:firstRowFirstColumn="0" w:firstRowLastColumn="0" w:lastRowFirstColumn="0" w:lastRowLastColumn="0"/>
            <w:tcW w:w="2400" w:type="dxa"/>
          </w:tcPr>
          <w:p w14:paraId="01BC9DC3" w14:textId="77777777" w:rsidR="00C47170" w:rsidRPr="00C613D8" w:rsidRDefault="00C47170" w:rsidP="00485057">
            <w:pPr>
              <w:spacing w:line="240" w:lineRule="auto"/>
              <w:jc w:val="left"/>
              <w:rPr>
                <w:b/>
                <w:sz w:val="16"/>
                <w:szCs w:val="16"/>
              </w:rPr>
            </w:pPr>
            <w:r w:rsidRPr="00C613D8">
              <w:rPr>
                <w:b/>
                <w:sz w:val="16"/>
                <w:szCs w:val="16"/>
              </w:rPr>
              <w:t>Flood Relief</w:t>
            </w:r>
          </w:p>
        </w:tc>
        <w:tc>
          <w:tcPr>
            <w:tcW w:w="1423" w:type="dxa"/>
          </w:tcPr>
          <w:p w14:paraId="3BFCECA0" w14:textId="77777777" w:rsidR="00C47170" w:rsidRPr="00C613D8" w:rsidRDefault="00C47170" w:rsidP="00485057">
            <w:pPr>
              <w:spacing w:line="240" w:lineRule="auto"/>
              <w:ind w:left="360"/>
              <w:cnfStyle w:val="000000000000" w:firstRow="0" w:lastRow="0" w:firstColumn="0" w:lastColumn="0" w:oddVBand="0" w:evenVBand="0" w:oddHBand="0" w:evenHBand="0" w:firstRowFirstColumn="0" w:firstRowLastColumn="0" w:lastRowFirstColumn="0" w:lastRowLastColumn="0"/>
              <w:rPr>
                <w:b/>
                <w:sz w:val="16"/>
                <w:szCs w:val="16"/>
              </w:rPr>
            </w:pPr>
            <w:r w:rsidRPr="00C613D8">
              <w:rPr>
                <w:b/>
                <w:sz w:val="16"/>
                <w:szCs w:val="16"/>
              </w:rPr>
              <w:t>€430m</w:t>
            </w:r>
          </w:p>
        </w:tc>
        <w:tc>
          <w:tcPr>
            <w:tcW w:w="5675" w:type="dxa"/>
          </w:tcPr>
          <w:p w14:paraId="710E8519"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Of which €348m will be directed towards major schemes;</w:t>
            </w:r>
          </w:p>
          <w:p w14:paraId="55151228"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6 major flood relief schemes under construction, including Ennis, Bray, Waterford, River Dodder and South Campshires Co Dublin;</w:t>
            </w:r>
          </w:p>
          <w:p w14:paraId="24666EF6" w14:textId="77777777" w:rsidR="00C47170" w:rsidRPr="00C613D8" w:rsidRDefault="00C47170" w:rsidP="000373A6">
            <w:pPr>
              <w:pStyle w:val="ListParagraph"/>
              <w:numPr>
                <w:ilvl w:val="0"/>
                <w:numId w:val="17"/>
              </w:numPr>
              <w:autoSpaceDE w:val="0"/>
              <w:autoSpaceDN w:val="0"/>
              <w:adjustRightInd w:val="0"/>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cs="HelveticaNeue-Light"/>
                <w:color w:val="006396"/>
                <w:sz w:val="16"/>
                <w:szCs w:val="16"/>
              </w:rPr>
            </w:pPr>
            <w:r w:rsidRPr="00C613D8">
              <w:rPr>
                <w:rFonts w:asciiTheme="minorHAnsi" w:hAnsiTheme="minorHAnsi"/>
                <w:sz w:val="16"/>
                <w:szCs w:val="16"/>
              </w:rPr>
              <w:t>A further 30 schemes at the planning/design stage, including Cork City, Arklow Co Wicklow, Enniscorthy Co Wexford, River Poddle Co Dublin, Morrell River Co Kildare and Midleton Co Cork;</w:t>
            </w:r>
          </w:p>
        </w:tc>
      </w:tr>
      <w:tr w:rsidR="00C47170" w:rsidRPr="00C613D8" w14:paraId="7EB8ED78" w14:textId="77777777" w:rsidTr="00F809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tcPr>
          <w:p w14:paraId="1EEE6A19" w14:textId="77777777" w:rsidR="00C47170" w:rsidRPr="00C613D8" w:rsidRDefault="00C47170" w:rsidP="00485057">
            <w:pPr>
              <w:spacing w:line="240" w:lineRule="auto"/>
              <w:jc w:val="left"/>
              <w:rPr>
                <w:b/>
                <w:sz w:val="16"/>
                <w:szCs w:val="16"/>
              </w:rPr>
            </w:pPr>
            <w:r w:rsidRPr="00C613D8">
              <w:rPr>
                <w:b/>
                <w:sz w:val="16"/>
                <w:szCs w:val="16"/>
              </w:rPr>
              <w:t>Road Improvement and Maintenance – National, Regional and Local Roads</w:t>
            </w:r>
          </w:p>
        </w:tc>
        <w:tc>
          <w:tcPr>
            <w:tcW w:w="1423" w:type="dxa"/>
          </w:tcPr>
          <w:p w14:paraId="3B690185" w14:textId="77777777" w:rsidR="00C47170" w:rsidRPr="00C613D8" w:rsidRDefault="00C47170" w:rsidP="00485057">
            <w:pPr>
              <w:spacing w:line="240" w:lineRule="auto"/>
              <w:ind w:left="360"/>
              <w:cnfStyle w:val="000000100000" w:firstRow="0" w:lastRow="0" w:firstColumn="0" w:lastColumn="0" w:oddVBand="0" w:evenVBand="0" w:oddHBand="1" w:evenHBand="0" w:firstRowFirstColumn="0" w:firstRowLastColumn="0" w:lastRowFirstColumn="0" w:lastRowLastColumn="0"/>
              <w:rPr>
                <w:b/>
                <w:sz w:val="16"/>
                <w:szCs w:val="16"/>
              </w:rPr>
            </w:pPr>
            <w:r w:rsidRPr="00C613D8">
              <w:rPr>
                <w:b/>
                <w:sz w:val="16"/>
                <w:szCs w:val="16"/>
              </w:rPr>
              <w:t>€6bn</w:t>
            </w:r>
          </w:p>
        </w:tc>
        <w:tc>
          <w:tcPr>
            <w:tcW w:w="5675" w:type="dxa"/>
          </w:tcPr>
          <w:p w14:paraId="466C2D3F"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 xml:space="preserve">€4.4bn for road maintenance and €1.6bn for new projects; </w:t>
            </w:r>
          </w:p>
          <w:p w14:paraId="3F10B33C"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 xml:space="preserve">The majority of ‘shovel ready’ National roads projects will not commence construction until 2019/20 due to funding constraints; </w:t>
            </w:r>
          </w:p>
        </w:tc>
      </w:tr>
      <w:tr w:rsidR="00C47170" w:rsidRPr="00C613D8" w14:paraId="0183B49F" w14:textId="77777777" w:rsidTr="00F809C8">
        <w:trPr>
          <w:trHeight w:val="20"/>
        </w:trPr>
        <w:tc>
          <w:tcPr>
            <w:cnfStyle w:val="001000000000" w:firstRow="0" w:lastRow="0" w:firstColumn="1" w:lastColumn="0" w:oddVBand="0" w:evenVBand="0" w:oddHBand="0" w:evenHBand="0" w:firstRowFirstColumn="0" w:firstRowLastColumn="0" w:lastRowFirstColumn="0" w:lastRowLastColumn="0"/>
            <w:tcW w:w="2400" w:type="dxa"/>
          </w:tcPr>
          <w:p w14:paraId="177B0B48" w14:textId="77777777" w:rsidR="00C47170" w:rsidRPr="00C613D8" w:rsidRDefault="00C47170" w:rsidP="00485057">
            <w:pPr>
              <w:spacing w:line="240" w:lineRule="auto"/>
              <w:jc w:val="left"/>
              <w:rPr>
                <w:b/>
                <w:sz w:val="16"/>
                <w:szCs w:val="16"/>
              </w:rPr>
            </w:pPr>
            <w:r w:rsidRPr="00C613D8">
              <w:rPr>
                <w:b/>
                <w:sz w:val="16"/>
                <w:szCs w:val="16"/>
              </w:rPr>
              <w:t>Education – Primary, Secondary and Third Level</w:t>
            </w:r>
          </w:p>
        </w:tc>
        <w:tc>
          <w:tcPr>
            <w:tcW w:w="1423" w:type="dxa"/>
          </w:tcPr>
          <w:p w14:paraId="666C9834" w14:textId="77777777" w:rsidR="00C47170" w:rsidRPr="00C613D8" w:rsidRDefault="00C47170" w:rsidP="00485057">
            <w:pPr>
              <w:spacing w:line="240" w:lineRule="auto"/>
              <w:ind w:left="405"/>
              <w:cnfStyle w:val="000000000000" w:firstRow="0" w:lastRow="0" w:firstColumn="0" w:lastColumn="0" w:oddVBand="0" w:evenVBand="0" w:oddHBand="0" w:evenHBand="0" w:firstRowFirstColumn="0" w:firstRowLastColumn="0" w:lastRowFirstColumn="0" w:lastRowLastColumn="0"/>
              <w:rPr>
                <w:b/>
                <w:sz w:val="16"/>
                <w:szCs w:val="16"/>
              </w:rPr>
            </w:pPr>
            <w:r w:rsidRPr="00C613D8">
              <w:rPr>
                <w:b/>
                <w:sz w:val="16"/>
                <w:szCs w:val="16"/>
              </w:rPr>
              <w:t>€3.82bn</w:t>
            </w:r>
          </w:p>
        </w:tc>
        <w:tc>
          <w:tcPr>
            <w:tcW w:w="5675" w:type="dxa"/>
          </w:tcPr>
          <w:p w14:paraId="6F17F4EE"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To provide 19,000 primary school places by 2018 and an extra 43,000 secondary school places by 2022;</w:t>
            </w:r>
          </w:p>
          <w:p w14:paraId="051C39D6"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€110 million for 3</w:t>
            </w:r>
            <w:r w:rsidRPr="00C613D8">
              <w:rPr>
                <w:rFonts w:asciiTheme="minorHAnsi" w:hAnsiTheme="minorHAnsi"/>
                <w:sz w:val="16"/>
                <w:szCs w:val="16"/>
                <w:vertAlign w:val="superscript"/>
              </w:rPr>
              <w:t>rd</w:t>
            </w:r>
            <w:r w:rsidRPr="00C613D8">
              <w:rPr>
                <w:rFonts w:asciiTheme="minorHAnsi" w:hAnsiTheme="minorHAnsi"/>
                <w:sz w:val="16"/>
                <w:szCs w:val="16"/>
              </w:rPr>
              <w:t xml:space="preserve"> level facilities plus an extra €200 million via PPP’s;</w:t>
            </w:r>
          </w:p>
          <w:p w14:paraId="26E38576"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Notable projects in the 3</w:t>
            </w:r>
            <w:r w:rsidRPr="00C613D8">
              <w:rPr>
                <w:rFonts w:asciiTheme="minorHAnsi" w:hAnsiTheme="minorHAnsi"/>
                <w:sz w:val="16"/>
                <w:szCs w:val="16"/>
                <w:vertAlign w:val="superscript"/>
              </w:rPr>
              <w:t>rd</w:t>
            </w:r>
            <w:r w:rsidRPr="00C613D8">
              <w:rPr>
                <w:rFonts w:asciiTheme="minorHAnsi" w:hAnsiTheme="minorHAnsi"/>
                <w:sz w:val="16"/>
                <w:szCs w:val="16"/>
              </w:rPr>
              <w:t xml:space="preserve"> level sector include, the Trinity College Business School, student accommodation at NUIG in Galway, a Library Building at the University of Limerick and the DIT Grangegorman campus development;</w:t>
            </w:r>
          </w:p>
        </w:tc>
      </w:tr>
      <w:tr w:rsidR="00C47170" w:rsidRPr="00C613D8" w14:paraId="27D08D24" w14:textId="77777777" w:rsidTr="00F809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tcPr>
          <w:p w14:paraId="34B4E671" w14:textId="77777777" w:rsidR="00C47170" w:rsidRPr="00C613D8" w:rsidRDefault="00C47170" w:rsidP="00485057">
            <w:pPr>
              <w:spacing w:line="240" w:lineRule="auto"/>
              <w:jc w:val="left"/>
              <w:rPr>
                <w:b/>
                <w:sz w:val="16"/>
                <w:szCs w:val="16"/>
              </w:rPr>
            </w:pPr>
            <w:r w:rsidRPr="00C613D8">
              <w:rPr>
                <w:b/>
                <w:sz w:val="16"/>
                <w:szCs w:val="16"/>
              </w:rPr>
              <w:t>Healthcare Infrastructure</w:t>
            </w:r>
          </w:p>
        </w:tc>
        <w:tc>
          <w:tcPr>
            <w:tcW w:w="1423" w:type="dxa"/>
          </w:tcPr>
          <w:p w14:paraId="1AF95D1D" w14:textId="77777777" w:rsidR="00C47170" w:rsidRPr="00C613D8" w:rsidRDefault="00C47170" w:rsidP="00485057">
            <w:pPr>
              <w:spacing w:line="240" w:lineRule="auto"/>
              <w:ind w:left="360"/>
              <w:cnfStyle w:val="000000100000" w:firstRow="0" w:lastRow="0" w:firstColumn="0" w:lastColumn="0" w:oddVBand="0" w:evenVBand="0" w:oddHBand="1" w:evenHBand="0" w:firstRowFirstColumn="0" w:firstRowLastColumn="0" w:lastRowFirstColumn="0" w:lastRowLastColumn="0"/>
              <w:rPr>
                <w:b/>
                <w:sz w:val="16"/>
                <w:szCs w:val="16"/>
              </w:rPr>
            </w:pPr>
            <w:r w:rsidRPr="00C613D8">
              <w:rPr>
                <w:b/>
                <w:sz w:val="16"/>
                <w:szCs w:val="16"/>
              </w:rPr>
              <w:t>€3.1bn</w:t>
            </w:r>
          </w:p>
        </w:tc>
        <w:tc>
          <w:tcPr>
            <w:tcW w:w="5675" w:type="dxa"/>
          </w:tcPr>
          <w:p w14:paraId="6B75DB44"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b/>
                <w:i/>
                <w:sz w:val="16"/>
                <w:szCs w:val="16"/>
              </w:rPr>
            </w:pPr>
            <w:r w:rsidRPr="00C613D8">
              <w:rPr>
                <w:rFonts w:asciiTheme="minorHAnsi" w:hAnsiTheme="minorHAnsi"/>
                <w:sz w:val="16"/>
                <w:szCs w:val="16"/>
              </w:rPr>
              <w:t>Projects to commence in the next three years: the National Children’s Hospital; a new 120-bed National Rehabilitation Hospital in Dún Laoghaire; the Central Mental Hospital in Portrane; and oncology centres in Dublin, Cork and Galway;</w:t>
            </w:r>
          </w:p>
          <w:p w14:paraId="2369AAF7"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b/>
                <w:i/>
                <w:sz w:val="16"/>
                <w:szCs w:val="16"/>
              </w:rPr>
            </w:pPr>
            <w:r w:rsidRPr="00C613D8">
              <w:rPr>
                <w:rFonts w:asciiTheme="minorHAnsi" w:hAnsiTheme="minorHAnsi"/>
                <w:sz w:val="16"/>
                <w:szCs w:val="16"/>
              </w:rPr>
              <w:t xml:space="preserve">A new emergency department (ED) to open in Limerick in 2017; two further ED’s planned in Galway Hospital and Beaumont Hospital; </w:t>
            </w:r>
          </w:p>
        </w:tc>
      </w:tr>
      <w:tr w:rsidR="00C47170" w:rsidRPr="00C613D8" w14:paraId="63A69C2F" w14:textId="77777777" w:rsidTr="00F809C8">
        <w:trPr>
          <w:trHeight w:val="20"/>
        </w:trPr>
        <w:tc>
          <w:tcPr>
            <w:cnfStyle w:val="001000000000" w:firstRow="0" w:lastRow="0" w:firstColumn="1" w:lastColumn="0" w:oddVBand="0" w:evenVBand="0" w:oddHBand="0" w:evenHBand="0" w:firstRowFirstColumn="0" w:firstRowLastColumn="0" w:lastRowFirstColumn="0" w:lastRowLastColumn="0"/>
            <w:tcW w:w="2400" w:type="dxa"/>
          </w:tcPr>
          <w:p w14:paraId="06C35587" w14:textId="77777777" w:rsidR="00C47170" w:rsidRPr="00C613D8" w:rsidRDefault="00C47170" w:rsidP="00485057">
            <w:pPr>
              <w:spacing w:line="240" w:lineRule="auto"/>
              <w:jc w:val="left"/>
              <w:rPr>
                <w:b/>
                <w:sz w:val="16"/>
                <w:szCs w:val="16"/>
              </w:rPr>
            </w:pPr>
            <w:r w:rsidRPr="00C613D8">
              <w:rPr>
                <w:b/>
                <w:sz w:val="16"/>
                <w:szCs w:val="16"/>
              </w:rPr>
              <w:t>Public Transport</w:t>
            </w:r>
          </w:p>
        </w:tc>
        <w:tc>
          <w:tcPr>
            <w:tcW w:w="1423" w:type="dxa"/>
          </w:tcPr>
          <w:p w14:paraId="0EB4DF68" w14:textId="77777777" w:rsidR="00C47170" w:rsidRPr="00C613D8" w:rsidRDefault="00C47170" w:rsidP="00485057">
            <w:pPr>
              <w:spacing w:line="240" w:lineRule="auto"/>
              <w:ind w:left="360"/>
              <w:cnfStyle w:val="000000000000" w:firstRow="0" w:lastRow="0" w:firstColumn="0" w:lastColumn="0" w:oddVBand="0" w:evenVBand="0" w:oddHBand="0" w:evenHBand="0" w:firstRowFirstColumn="0" w:firstRowLastColumn="0" w:lastRowFirstColumn="0" w:lastRowLastColumn="0"/>
              <w:rPr>
                <w:b/>
                <w:sz w:val="16"/>
                <w:szCs w:val="16"/>
              </w:rPr>
            </w:pPr>
            <w:r w:rsidRPr="00C613D8">
              <w:rPr>
                <w:b/>
                <w:sz w:val="16"/>
                <w:szCs w:val="16"/>
              </w:rPr>
              <w:t>€3.6bn</w:t>
            </w:r>
          </w:p>
        </w:tc>
        <w:tc>
          <w:tcPr>
            <w:tcW w:w="5675" w:type="dxa"/>
          </w:tcPr>
          <w:p w14:paraId="4BEB5792"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Projects either under construction or expected to be advanced over the coming years include: Luas Cross City project; Reopening of the Phoenix Park Tunnel; the multi-phase DART expansion programme (to Balbriggan, Maynooth and Hazelhatch); upgrading of Quality Bus Corridors; new and replacement buses;</w:t>
            </w:r>
          </w:p>
          <w:p w14:paraId="1E8B5E1F"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C613D8">
              <w:rPr>
                <w:rFonts w:asciiTheme="minorHAnsi" w:hAnsiTheme="minorHAnsi"/>
                <w:sz w:val="16"/>
                <w:szCs w:val="16"/>
              </w:rPr>
              <w:t>Metro North – construction to commence in 2021;</w:t>
            </w:r>
          </w:p>
        </w:tc>
      </w:tr>
      <w:tr w:rsidR="00C47170" w:rsidRPr="00C613D8" w14:paraId="151AF568" w14:textId="77777777" w:rsidTr="00F809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tcPr>
          <w:p w14:paraId="09C29783" w14:textId="77777777" w:rsidR="00C47170" w:rsidRPr="00C613D8" w:rsidRDefault="00C47170" w:rsidP="00485057">
            <w:pPr>
              <w:spacing w:line="240" w:lineRule="auto"/>
              <w:jc w:val="left"/>
              <w:rPr>
                <w:b/>
                <w:sz w:val="16"/>
                <w:szCs w:val="16"/>
              </w:rPr>
            </w:pPr>
            <w:r w:rsidRPr="00C613D8">
              <w:rPr>
                <w:b/>
                <w:sz w:val="16"/>
                <w:szCs w:val="16"/>
              </w:rPr>
              <w:t>State and Regional Airports, Seaports</w:t>
            </w:r>
          </w:p>
        </w:tc>
        <w:tc>
          <w:tcPr>
            <w:tcW w:w="1423" w:type="dxa"/>
          </w:tcPr>
          <w:p w14:paraId="093B274D" w14:textId="77777777" w:rsidR="00C47170" w:rsidRPr="00C613D8" w:rsidRDefault="00C47170" w:rsidP="00485057">
            <w:pPr>
              <w:spacing w:line="240" w:lineRule="auto"/>
              <w:ind w:left="360"/>
              <w:cnfStyle w:val="000000100000" w:firstRow="0" w:lastRow="0" w:firstColumn="0" w:lastColumn="0" w:oddVBand="0" w:evenVBand="0" w:oddHBand="1" w:evenHBand="0" w:firstRowFirstColumn="0" w:firstRowLastColumn="0" w:lastRowFirstColumn="0" w:lastRowLastColumn="0"/>
              <w:rPr>
                <w:sz w:val="16"/>
                <w:szCs w:val="16"/>
              </w:rPr>
            </w:pPr>
          </w:p>
        </w:tc>
        <w:tc>
          <w:tcPr>
            <w:tcW w:w="5675" w:type="dxa"/>
          </w:tcPr>
          <w:p w14:paraId="3D5F7CFB"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A new €320m runway for Dublin Airport due to start mid-2017;</w:t>
            </w:r>
          </w:p>
          <w:p w14:paraId="134A7204"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Investment in upgrading regional airports of around €38m;</w:t>
            </w:r>
          </w:p>
          <w:p w14:paraId="2A04CC36"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A number of seaports have expansion plans;</w:t>
            </w:r>
          </w:p>
        </w:tc>
      </w:tr>
      <w:tr w:rsidR="00C47170" w:rsidRPr="00C613D8" w14:paraId="26AC0402" w14:textId="77777777" w:rsidTr="00F809C8">
        <w:trPr>
          <w:trHeight w:val="20"/>
        </w:trPr>
        <w:tc>
          <w:tcPr>
            <w:cnfStyle w:val="001000000000" w:firstRow="0" w:lastRow="0" w:firstColumn="1" w:lastColumn="0" w:oddVBand="0" w:evenVBand="0" w:oddHBand="0" w:evenHBand="0" w:firstRowFirstColumn="0" w:firstRowLastColumn="0" w:lastRowFirstColumn="0" w:lastRowLastColumn="0"/>
            <w:tcW w:w="2400" w:type="dxa"/>
          </w:tcPr>
          <w:p w14:paraId="46455CB0" w14:textId="77777777" w:rsidR="00C47170" w:rsidRPr="00C613D8" w:rsidRDefault="00C47170" w:rsidP="00485057">
            <w:pPr>
              <w:spacing w:line="240" w:lineRule="auto"/>
              <w:jc w:val="left"/>
              <w:rPr>
                <w:b/>
                <w:sz w:val="16"/>
                <w:szCs w:val="16"/>
              </w:rPr>
            </w:pPr>
            <w:r w:rsidRPr="00C613D8">
              <w:rPr>
                <w:b/>
                <w:sz w:val="16"/>
                <w:szCs w:val="16"/>
              </w:rPr>
              <w:t xml:space="preserve">Third Phase of PPP’s – Transport, </w:t>
            </w:r>
          </w:p>
          <w:p w14:paraId="6E01B7D5" w14:textId="77777777" w:rsidR="00C47170" w:rsidRPr="00C613D8" w:rsidRDefault="00C47170" w:rsidP="00485057">
            <w:pPr>
              <w:spacing w:line="240" w:lineRule="auto"/>
              <w:jc w:val="left"/>
              <w:rPr>
                <w:b/>
                <w:sz w:val="16"/>
                <w:szCs w:val="16"/>
              </w:rPr>
            </w:pPr>
            <w:r w:rsidRPr="00C613D8">
              <w:rPr>
                <w:b/>
                <w:sz w:val="16"/>
                <w:szCs w:val="16"/>
              </w:rPr>
              <w:t xml:space="preserve">Education, </w:t>
            </w:r>
          </w:p>
          <w:p w14:paraId="52F655CC" w14:textId="77777777" w:rsidR="00C47170" w:rsidRPr="00C613D8" w:rsidRDefault="00C47170" w:rsidP="00485057">
            <w:pPr>
              <w:spacing w:line="240" w:lineRule="auto"/>
              <w:jc w:val="left"/>
              <w:rPr>
                <w:b/>
                <w:sz w:val="16"/>
                <w:szCs w:val="16"/>
              </w:rPr>
            </w:pPr>
            <w:r w:rsidRPr="00C613D8">
              <w:rPr>
                <w:b/>
                <w:sz w:val="16"/>
                <w:szCs w:val="16"/>
              </w:rPr>
              <w:t>Justice.</w:t>
            </w:r>
          </w:p>
        </w:tc>
        <w:tc>
          <w:tcPr>
            <w:tcW w:w="1423" w:type="dxa"/>
          </w:tcPr>
          <w:p w14:paraId="4F4650D8" w14:textId="77777777" w:rsidR="00C47170" w:rsidRPr="00C613D8" w:rsidRDefault="00C47170" w:rsidP="00485057">
            <w:pPr>
              <w:spacing w:line="240" w:lineRule="auto"/>
              <w:ind w:left="360"/>
              <w:cnfStyle w:val="000000000000" w:firstRow="0" w:lastRow="0" w:firstColumn="0" w:lastColumn="0" w:oddVBand="0" w:evenVBand="0" w:oddHBand="0" w:evenHBand="0" w:firstRowFirstColumn="0" w:firstRowLastColumn="0" w:lastRowFirstColumn="0" w:lastRowLastColumn="0"/>
              <w:rPr>
                <w:b/>
                <w:sz w:val="16"/>
                <w:szCs w:val="16"/>
              </w:rPr>
            </w:pPr>
            <w:r w:rsidRPr="00C613D8">
              <w:rPr>
                <w:b/>
                <w:sz w:val="16"/>
                <w:szCs w:val="16"/>
              </w:rPr>
              <w:t>€500m</w:t>
            </w:r>
          </w:p>
        </w:tc>
        <w:tc>
          <w:tcPr>
            <w:tcW w:w="5675" w:type="dxa"/>
          </w:tcPr>
          <w:p w14:paraId="57985139"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613D8">
              <w:rPr>
                <w:rFonts w:asciiTheme="minorHAnsi" w:hAnsiTheme="minorHAnsi"/>
                <w:b/>
                <w:sz w:val="16"/>
                <w:szCs w:val="16"/>
              </w:rPr>
              <w:t>Roads</w:t>
            </w:r>
            <w:r w:rsidRPr="00C613D8">
              <w:rPr>
                <w:rFonts w:asciiTheme="minorHAnsi" w:hAnsiTheme="minorHAnsi"/>
                <w:sz w:val="16"/>
                <w:szCs w:val="16"/>
              </w:rPr>
              <w:t xml:space="preserve"> – 3 PPP projects underway: M17/M18 Gort to Tuam; </w:t>
            </w:r>
            <w:r w:rsidRPr="00C613D8">
              <w:rPr>
                <w:rFonts w:asciiTheme="minorHAnsi" w:hAnsiTheme="minorHAnsi" w:cs="Arial"/>
                <w:sz w:val="16"/>
                <w:szCs w:val="16"/>
              </w:rPr>
              <w:t xml:space="preserve">M11 Gorey to Enniscorthy; </w:t>
            </w:r>
            <w:r w:rsidRPr="00C613D8">
              <w:rPr>
                <w:rFonts w:asciiTheme="minorHAnsi" w:hAnsiTheme="minorHAnsi"/>
                <w:sz w:val="16"/>
                <w:szCs w:val="16"/>
              </w:rPr>
              <w:t xml:space="preserve"> N25 New Ross Bypass; New Road PPPs are not anticipated in the 2016-2021 period</w:t>
            </w:r>
          </w:p>
          <w:p w14:paraId="0970E0FC"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C613D8">
              <w:rPr>
                <w:rFonts w:asciiTheme="minorHAnsi" w:hAnsiTheme="minorHAnsi"/>
                <w:b/>
                <w:sz w:val="16"/>
                <w:szCs w:val="16"/>
              </w:rPr>
              <w:t>Education:</w:t>
            </w:r>
            <w:r w:rsidRPr="00C613D8">
              <w:rPr>
                <w:rFonts w:asciiTheme="minorHAnsi" w:hAnsiTheme="minorHAnsi"/>
                <w:sz w:val="16"/>
                <w:szCs w:val="16"/>
              </w:rPr>
              <w:t xml:space="preserve"> </w:t>
            </w:r>
          </w:p>
          <w:p w14:paraId="4A73DEE4"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C613D8">
              <w:rPr>
                <w:rFonts w:asciiTheme="minorHAnsi" w:hAnsiTheme="minorHAnsi"/>
                <w:sz w:val="16"/>
                <w:szCs w:val="16"/>
              </w:rPr>
              <w:t>DIT Grangegorman campus - 50% of funding from PPPs – a</w:t>
            </w:r>
            <w:r w:rsidRPr="00C613D8">
              <w:rPr>
                <w:rFonts w:asciiTheme="minorHAnsi" w:hAnsiTheme="minorHAnsi" w:cs="Arial"/>
                <w:sz w:val="16"/>
                <w:szCs w:val="16"/>
              </w:rPr>
              <w:t xml:space="preserve"> 73-acre education and health campus development comprising a primary school; a public library; sports and recreation facilities; student accommodation; Primary Care Centre; Community Nursing Unit; </w:t>
            </w:r>
          </w:p>
          <w:p w14:paraId="5A3AA545"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A fifth schools PPP bundle under construction comprising five schools.</w:t>
            </w:r>
          </w:p>
          <w:p w14:paraId="16E33D1B" w14:textId="77777777" w:rsidR="00C47170" w:rsidRPr="00C613D8" w:rsidRDefault="00C47170" w:rsidP="000373A6">
            <w:pPr>
              <w:pStyle w:val="ListParagraph"/>
              <w:numPr>
                <w:ilvl w:val="0"/>
                <w:numId w:val="17"/>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613D8">
              <w:rPr>
                <w:rFonts w:asciiTheme="minorHAnsi" w:hAnsiTheme="minorHAnsi"/>
                <w:b/>
                <w:sz w:val="16"/>
                <w:szCs w:val="16"/>
              </w:rPr>
              <w:t xml:space="preserve">Courthouses </w:t>
            </w:r>
            <w:r w:rsidRPr="00C613D8">
              <w:rPr>
                <w:rFonts w:asciiTheme="minorHAnsi" w:hAnsiTheme="minorHAnsi"/>
                <w:sz w:val="16"/>
                <w:szCs w:val="16"/>
              </w:rPr>
              <w:t>and</w:t>
            </w:r>
            <w:r w:rsidRPr="00C613D8">
              <w:rPr>
                <w:rFonts w:asciiTheme="minorHAnsi" w:hAnsiTheme="minorHAnsi"/>
                <w:b/>
                <w:sz w:val="16"/>
                <w:szCs w:val="16"/>
              </w:rPr>
              <w:t xml:space="preserve"> Garda Stations</w:t>
            </w:r>
            <w:r w:rsidRPr="00C613D8">
              <w:rPr>
                <w:rFonts w:asciiTheme="minorHAnsi" w:hAnsiTheme="minorHAnsi"/>
                <w:sz w:val="16"/>
                <w:szCs w:val="16"/>
              </w:rPr>
              <w:t xml:space="preserve">  - €160m provision;</w:t>
            </w:r>
          </w:p>
        </w:tc>
      </w:tr>
      <w:tr w:rsidR="00C47170" w:rsidRPr="00C613D8" w14:paraId="56D10A1D" w14:textId="77777777" w:rsidTr="00F809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tcPr>
          <w:p w14:paraId="30229A58" w14:textId="77777777" w:rsidR="00C47170" w:rsidRPr="00C613D8" w:rsidRDefault="00C47170" w:rsidP="00485057">
            <w:pPr>
              <w:spacing w:line="240" w:lineRule="auto"/>
              <w:jc w:val="left"/>
              <w:rPr>
                <w:b/>
                <w:sz w:val="16"/>
                <w:szCs w:val="16"/>
              </w:rPr>
            </w:pPr>
            <w:r w:rsidRPr="00C613D8">
              <w:rPr>
                <w:b/>
                <w:sz w:val="16"/>
                <w:szCs w:val="16"/>
              </w:rPr>
              <w:t xml:space="preserve">Social Housing and Housing Infrastructure </w:t>
            </w:r>
            <w:r w:rsidRPr="00C613D8">
              <w:rPr>
                <w:sz w:val="16"/>
                <w:szCs w:val="16"/>
              </w:rPr>
              <w:t>– as per Action Plan</w:t>
            </w:r>
          </w:p>
        </w:tc>
        <w:tc>
          <w:tcPr>
            <w:tcW w:w="1423" w:type="dxa"/>
          </w:tcPr>
          <w:p w14:paraId="3A87DEBC" w14:textId="77777777" w:rsidR="00C47170" w:rsidRPr="00C613D8" w:rsidRDefault="00C47170" w:rsidP="00485057">
            <w:pPr>
              <w:spacing w:line="240" w:lineRule="auto"/>
              <w:ind w:left="-103"/>
              <w:jc w:val="center"/>
              <w:cnfStyle w:val="000000100000" w:firstRow="0" w:lastRow="0" w:firstColumn="0" w:lastColumn="0" w:oddVBand="0" w:evenVBand="0" w:oddHBand="1" w:evenHBand="0" w:firstRowFirstColumn="0" w:firstRowLastColumn="0" w:lastRowFirstColumn="0" w:lastRowLastColumn="0"/>
              <w:rPr>
                <w:b/>
                <w:sz w:val="16"/>
                <w:szCs w:val="16"/>
              </w:rPr>
            </w:pPr>
            <w:r w:rsidRPr="00C613D8">
              <w:rPr>
                <w:b/>
                <w:sz w:val="16"/>
                <w:szCs w:val="16"/>
              </w:rPr>
              <w:t>€5.5bn</w:t>
            </w:r>
          </w:p>
          <w:p w14:paraId="0978B80E" w14:textId="77777777" w:rsidR="00C47170" w:rsidRPr="00C613D8" w:rsidRDefault="00C47170" w:rsidP="00485057">
            <w:pPr>
              <w:spacing w:line="240" w:lineRule="auto"/>
              <w:ind w:left="39"/>
              <w:jc w:val="left"/>
              <w:cnfStyle w:val="000000100000" w:firstRow="0" w:lastRow="0" w:firstColumn="0" w:lastColumn="0" w:oddVBand="0" w:evenVBand="0" w:oddHBand="1" w:evenHBand="0" w:firstRowFirstColumn="0" w:firstRowLastColumn="0" w:lastRowFirstColumn="0" w:lastRowLastColumn="0"/>
              <w:rPr>
                <w:b/>
                <w:sz w:val="16"/>
                <w:szCs w:val="16"/>
              </w:rPr>
            </w:pPr>
            <w:r w:rsidRPr="00C613D8">
              <w:rPr>
                <w:sz w:val="16"/>
                <w:szCs w:val="16"/>
              </w:rPr>
              <w:t>(Action Plan figure)</w:t>
            </w:r>
          </w:p>
        </w:tc>
        <w:tc>
          <w:tcPr>
            <w:tcW w:w="5675" w:type="dxa"/>
          </w:tcPr>
          <w:p w14:paraId="773997D2"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 xml:space="preserve">Address Homelessness; </w:t>
            </w:r>
          </w:p>
          <w:p w14:paraId="77824FF7"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Accelerate Social Housing delivery;</w:t>
            </w:r>
          </w:p>
          <w:p w14:paraId="5D42C086"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Build more private housing;</w:t>
            </w:r>
          </w:p>
          <w:p w14:paraId="64E0B004"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613D8">
              <w:rPr>
                <w:rFonts w:asciiTheme="minorHAnsi" w:hAnsiTheme="minorHAnsi"/>
                <w:sz w:val="16"/>
                <w:szCs w:val="16"/>
              </w:rPr>
              <w:t>Improve the Rental sector;</w:t>
            </w:r>
          </w:p>
          <w:p w14:paraId="1ACD7368" w14:textId="77777777" w:rsidR="00C47170" w:rsidRPr="00C613D8" w:rsidRDefault="00C47170" w:rsidP="000373A6">
            <w:pPr>
              <w:pStyle w:val="ListParagraph"/>
              <w:numPr>
                <w:ilvl w:val="0"/>
                <w:numId w:val="17"/>
              </w:numPr>
              <w:spacing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C613D8">
              <w:rPr>
                <w:rFonts w:asciiTheme="minorHAnsi" w:hAnsiTheme="minorHAnsi"/>
                <w:sz w:val="16"/>
                <w:szCs w:val="16"/>
              </w:rPr>
              <w:t>Utilise existing housing stock.</w:t>
            </w:r>
          </w:p>
        </w:tc>
      </w:tr>
    </w:tbl>
    <w:p w14:paraId="2C7DD041" w14:textId="77777777" w:rsidR="00C47170" w:rsidRDefault="00C47170" w:rsidP="00C47170">
      <w:pPr>
        <w:pStyle w:val="DKMBodyText"/>
        <w:rPr>
          <w:rFonts w:asciiTheme="minorHAnsi" w:hAnsiTheme="minorHAnsi"/>
          <w:sz w:val="20"/>
          <w:szCs w:val="20"/>
        </w:rPr>
      </w:pPr>
    </w:p>
    <w:p w14:paraId="71AB1FA8" w14:textId="77777777" w:rsidR="00C47170" w:rsidRPr="00BC34A6" w:rsidRDefault="00C47170" w:rsidP="00C47170">
      <w:pPr>
        <w:pStyle w:val="DKMBodyText"/>
        <w:spacing w:line="240" w:lineRule="auto"/>
        <w:rPr>
          <w:rFonts w:asciiTheme="minorHAnsi" w:hAnsiTheme="minorHAnsi"/>
          <w:sz w:val="16"/>
          <w:szCs w:val="16"/>
        </w:rPr>
        <w:sectPr w:rsidR="00C47170" w:rsidRPr="00BC34A6" w:rsidSect="008E47D7">
          <w:footerReference w:type="default" r:id="rId19"/>
          <w:pgSz w:w="11906" w:h="16838"/>
          <w:pgMar w:top="2041" w:right="851" w:bottom="1418" w:left="2835" w:header="709" w:footer="709" w:gutter="0"/>
          <w:pgNumType w:start="1"/>
          <w:cols w:space="708"/>
          <w:docGrid w:linePitch="360"/>
        </w:sectPr>
      </w:pPr>
      <w:r w:rsidRPr="00BC34A6">
        <w:rPr>
          <w:rFonts w:asciiTheme="minorHAnsi" w:hAnsiTheme="minorHAnsi"/>
          <w:sz w:val="16"/>
          <w:szCs w:val="16"/>
        </w:rPr>
        <w:t>Source: Building on Recovery: Infrastructure and Capital investment 2016-2021, September 2015. Department of Public Expenditure and Reform.</w:t>
      </w:r>
    </w:p>
    <w:p w14:paraId="75167650" w14:textId="7E650A12" w:rsidR="00077040" w:rsidRPr="00473810" w:rsidRDefault="00473810" w:rsidP="00473810">
      <w:pPr>
        <w:pStyle w:val="DKM1"/>
        <w:rPr>
          <w:sz w:val="24"/>
          <w:szCs w:val="24"/>
        </w:rPr>
      </w:pPr>
      <w:bookmarkStart w:id="59" w:name="_Toc478116706"/>
      <w:r w:rsidRPr="00473810">
        <w:rPr>
          <w:sz w:val="24"/>
          <w:szCs w:val="24"/>
        </w:rPr>
        <w:t>Appendix 2: Current Investment Priorities for Health Sector</w:t>
      </w:r>
      <w:bookmarkEnd w:id="59"/>
    </w:p>
    <w:p w14:paraId="26EDE34C" w14:textId="77777777" w:rsidR="00473810" w:rsidRPr="00FE0538" w:rsidRDefault="00473810" w:rsidP="000373A6">
      <w:pPr>
        <w:pStyle w:val="ListParagraph"/>
        <w:numPr>
          <w:ilvl w:val="0"/>
          <w:numId w:val="23"/>
        </w:numPr>
        <w:ind w:left="426"/>
        <w:rPr>
          <w:rFonts w:cs="Arial"/>
          <w:sz w:val="20"/>
          <w:szCs w:val="20"/>
        </w:rPr>
      </w:pPr>
      <w:r w:rsidRPr="00FE0538">
        <w:rPr>
          <w:rFonts w:cs="Arial"/>
          <w:sz w:val="20"/>
          <w:szCs w:val="20"/>
        </w:rPr>
        <w:t xml:space="preserve">The 473 bed </w:t>
      </w:r>
      <w:r w:rsidRPr="00FE0538">
        <w:rPr>
          <w:rFonts w:cs="Arial"/>
          <w:b/>
          <w:sz w:val="20"/>
          <w:szCs w:val="20"/>
        </w:rPr>
        <w:t>National Children’s Hospital</w:t>
      </w:r>
      <w:r w:rsidRPr="00FE0538">
        <w:rPr>
          <w:rFonts w:cs="Arial"/>
          <w:sz w:val="20"/>
          <w:szCs w:val="20"/>
        </w:rPr>
        <w:t>, which is currently under construction on the 50 acre campus shared with St. James’s Hospital in Dublin, will be a campus of approximately 160,000 square metres. It is expected that the hospital will open in 2020 and will cost around €1bn.</w:t>
      </w:r>
    </w:p>
    <w:p w14:paraId="0F3593EF" w14:textId="77777777" w:rsidR="00473810" w:rsidRPr="00D65896" w:rsidRDefault="00473810" w:rsidP="000373A6">
      <w:pPr>
        <w:pStyle w:val="ListParagraph"/>
        <w:numPr>
          <w:ilvl w:val="0"/>
          <w:numId w:val="18"/>
        </w:numPr>
        <w:spacing w:after="0" w:line="280" w:lineRule="atLeast"/>
        <w:ind w:left="426"/>
        <w:jc w:val="both"/>
        <w:rPr>
          <w:rFonts w:asciiTheme="minorHAnsi" w:hAnsiTheme="minorHAnsi" w:cs="Arial"/>
          <w:sz w:val="20"/>
          <w:szCs w:val="20"/>
        </w:rPr>
      </w:pPr>
      <w:r w:rsidRPr="00D65896">
        <w:rPr>
          <w:rFonts w:asciiTheme="minorHAnsi" w:hAnsiTheme="minorHAnsi" w:cs="Arial"/>
          <w:sz w:val="20"/>
          <w:szCs w:val="20"/>
        </w:rPr>
        <w:t xml:space="preserve">The </w:t>
      </w:r>
      <w:r w:rsidRPr="00D65896">
        <w:rPr>
          <w:rFonts w:asciiTheme="minorHAnsi" w:hAnsiTheme="minorHAnsi" w:cs="Arial"/>
          <w:b/>
          <w:sz w:val="20"/>
          <w:szCs w:val="20"/>
        </w:rPr>
        <w:t>National Plan for Radiation Oncology</w:t>
      </w:r>
      <w:r w:rsidRPr="00D65896">
        <w:rPr>
          <w:rFonts w:asciiTheme="minorHAnsi" w:hAnsiTheme="minorHAnsi" w:cs="Arial"/>
          <w:sz w:val="20"/>
          <w:szCs w:val="20"/>
        </w:rPr>
        <w:t>, which involves four large oncology centres delivered over two phases. Following completion of Phase 1 in Dublin</w:t>
      </w:r>
      <w:r>
        <w:rPr>
          <w:rFonts w:asciiTheme="minorHAnsi" w:hAnsiTheme="minorHAnsi" w:cs="Arial"/>
          <w:sz w:val="20"/>
          <w:szCs w:val="20"/>
        </w:rPr>
        <w:t xml:space="preserve"> (St. James and Beaumont)</w:t>
      </w:r>
      <w:r w:rsidRPr="00D65896">
        <w:rPr>
          <w:rFonts w:asciiTheme="minorHAnsi" w:hAnsiTheme="minorHAnsi" w:cs="Arial"/>
          <w:sz w:val="20"/>
          <w:szCs w:val="20"/>
        </w:rPr>
        <w:t xml:space="preserve">, Phase 2 involves two additional oncology centres which will be completed in Cork in 2018 and in Galway in 2019. </w:t>
      </w:r>
    </w:p>
    <w:p w14:paraId="1578E994" w14:textId="77777777" w:rsidR="00473810" w:rsidRPr="00D65896" w:rsidRDefault="00473810" w:rsidP="000373A6">
      <w:pPr>
        <w:pStyle w:val="ListParagraph"/>
        <w:numPr>
          <w:ilvl w:val="0"/>
          <w:numId w:val="18"/>
        </w:numPr>
        <w:spacing w:after="0" w:line="280" w:lineRule="atLeast"/>
        <w:ind w:left="426"/>
        <w:jc w:val="both"/>
        <w:rPr>
          <w:rFonts w:asciiTheme="minorHAnsi" w:hAnsiTheme="minorHAnsi" w:cs="Arial"/>
          <w:sz w:val="20"/>
          <w:szCs w:val="20"/>
        </w:rPr>
      </w:pPr>
      <w:r w:rsidRPr="00D65896">
        <w:rPr>
          <w:rFonts w:asciiTheme="minorHAnsi" w:hAnsiTheme="minorHAnsi" w:cs="Arial"/>
          <w:sz w:val="20"/>
          <w:szCs w:val="20"/>
        </w:rPr>
        <w:t xml:space="preserve">The </w:t>
      </w:r>
      <w:r w:rsidRPr="00D65896">
        <w:rPr>
          <w:rFonts w:asciiTheme="minorHAnsi" w:hAnsiTheme="minorHAnsi" w:cs="Arial"/>
          <w:b/>
          <w:sz w:val="20"/>
          <w:szCs w:val="20"/>
        </w:rPr>
        <w:t>National Forensic Mental Health services facilities project</w:t>
      </w:r>
      <w:r w:rsidRPr="00D65896">
        <w:rPr>
          <w:rFonts w:asciiTheme="minorHAnsi" w:hAnsiTheme="minorHAnsi" w:cs="Arial"/>
          <w:sz w:val="20"/>
          <w:szCs w:val="20"/>
        </w:rPr>
        <w:t xml:space="preserve">, which </w:t>
      </w:r>
      <w:r>
        <w:rPr>
          <w:rFonts w:asciiTheme="minorHAnsi" w:hAnsiTheme="minorHAnsi" w:cs="Arial"/>
          <w:sz w:val="20"/>
          <w:szCs w:val="20"/>
        </w:rPr>
        <w:t>due to commence construction in Q1 2017</w:t>
      </w:r>
      <w:r w:rsidRPr="00D65896">
        <w:rPr>
          <w:rFonts w:asciiTheme="minorHAnsi" w:hAnsiTheme="minorHAnsi" w:cs="Arial"/>
          <w:sz w:val="20"/>
          <w:szCs w:val="20"/>
        </w:rPr>
        <w:t xml:space="preserve"> at a cost of €1</w:t>
      </w:r>
      <w:r>
        <w:rPr>
          <w:rFonts w:asciiTheme="minorHAnsi" w:hAnsiTheme="minorHAnsi" w:cs="Arial"/>
          <w:sz w:val="20"/>
          <w:szCs w:val="20"/>
        </w:rPr>
        <w:t>7</w:t>
      </w:r>
      <w:r w:rsidRPr="00D65896">
        <w:rPr>
          <w:rFonts w:asciiTheme="minorHAnsi" w:hAnsiTheme="minorHAnsi" w:cs="Arial"/>
          <w:sz w:val="20"/>
          <w:szCs w:val="20"/>
        </w:rPr>
        <w:t xml:space="preserve">0 million. When completed </w:t>
      </w:r>
      <w:r>
        <w:rPr>
          <w:rFonts w:asciiTheme="minorHAnsi" w:hAnsiTheme="minorHAnsi" w:cs="Arial"/>
          <w:sz w:val="20"/>
          <w:szCs w:val="20"/>
        </w:rPr>
        <w:t>in two years</w:t>
      </w:r>
      <w:r w:rsidRPr="00D65896">
        <w:rPr>
          <w:rFonts w:asciiTheme="minorHAnsi" w:hAnsiTheme="minorHAnsi" w:cs="Arial"/>
          <w:sz w:val="20"/>
          <w:szCs w:val="20"/>
        </w:rPr>
        <w:t xml:space="preserve">, the facilities will </w:t>
      </w:r>
      <w:r w:rsidRPr="00D65896">
        <w:rPr>
          <w:rFonts w:asciiTheme="minorHAnsi" w:hAnsiTheme="minorHAnsi" w:cs="Arial"/>
          <w:color w:val="000000"/>
          <w:sz w:val="20"/>
          <w:szCs w:val="20"/>
          <w:shd w:val="clear" w:color="auto" w:fill="FFFFFF"/>
        </w:rPr>
        <w:t>comprise a 120 bed adult forensic hospital, together with a 10 bed forensic child and adolescent unit, and a 10 bed forensic mental health intellectual disability unit on the same site within the St. Ita’s Hospital campus in Portrane in North County Dublin.</w:t>
      </w:r>
    </w:p>
    <w:p w14:paraId="5AA59D9E" w14:textId="77777777" w:rsidR="00473810" w:rsidRPr="00D65896" w:rsidRDefault="00473810" w:rsidP="000373A6">
      <w:pPr>
        <w:pStyle w:val="ListParagraph"/>
        <w:numPr>
          <w:ilvl w:val="0"/>
          <w:numId w:val="18"/>
        </w:numPr>
        <w:spacing w:after="0" w:line="280" w:lineRule="atLeast"/>
        <w:ind w:left="426"/>
        <w:jc w:val="both"/>
        <w:rPr>
          <w:rFonts w:asciiTheme="minorHAnsi" w:hAnsiTheme="minorHAnsi" w:cs="Arial"/>
          <w:sz w:val="20"/>
          <w:szCs w:val="20"/>
        </w:rPr>
      </w:pPr>
      <w:r w:rsidRPr="00D65896">
        <w:rPr>
          <w:rFonts w:asciiTheme="minorHAnsi" w:hAnsiTheme="minorHAnsi" w:cs="Arial"/>
          <w:color w:val="000000"/>
          <w:sz w:val="20"/>
          <w:szCs w:val="20"/>
          <w:shd w:val="clear" w:color="auto" w:fill="FFFFFF"/>
        </w:rPr>
        <w:t xml:space="preserve">The new </w:t>
      </w:r>
      <w:r w:rsidRPr="00D65896">
        <w:rPr>
          <w:rFonts w:asciiTheme="minorHAnsi" w:hAnsiTheme="minorHAnsi" w:cs="Arial"/>
          <w:b/>
          <w:color w:val="000000"/>
          <w:sz w:val="20"/>
          <w:szCs w:val="20"/>
          <w:shd w:val="clear" w:color="auto" w:fill="FFFFFF"/>
        </w:rPr>
        <w:t>National Maternity Hospital,</w:t>
      </w:r>
      <w:r w:rsidRPr="00D65896">
        <w:rPr>
          <w:rFonts w:asciiTheme="minorHAnsi" w:hAnsiTheme="minorHAnsi" w:cs="Arial"/>
          <w:color w:val="000000"/>
          <w:sz w:val="20"/>
          <w:szCs w:val="20"/>
          <w:shd w:val="clear" w:color="auto" w:fill="FFFFFF"/>
        </w:rPr>
        <w:t xml:space="preserve"> which is to be provided at St. Vincent’s University Hospital in Dublin and will cater for 10,000 births. </w:t>
      </w:r>
      <w:r>
        <w:rPr>
          <w:rFonts w:asciiTheme="minorHAnsi" w:hAnsiTheme="minorHAnsi" w:cs="Arial"/>
          <w:color w:val="000000"/>
          <w:sz w:val="20"/>
          <w:szCs w:val="20"/>
          <w:shd w:val="clear" w:color="auto" w:fill="FFFFFF"/>
        </w:rPr>
        <w:t xml:space="preserve">This project is expected to go to tender end 2017/early 2018 and is </w:t>
      </w:r>
      <w:r w:rsidRPr="00D65896">
        <w:rPr>
          <w:rFonts w:asciiTheme="minorHAnsi" w:hAnsiTheme="minorHAnsi" w:cs="Arial"/>
          <w:color w:val="000000"/>
          <w:sz w:val="20"/>
          <w:szCs w:val="20"/>
          <w:shd w:val="clear" w:color="auto" w:fill="FFFFFF"/>
        </w:rPr>
        <w:t xml:space="preserve">expected to take around 42 months to build at an estimated cost of </w:t>
      </w:r>
      <w:r>
        <w:rPr>
          <w:rFonts w:asciiTheme="minorHAnsi" w:hAnsiTheme="minorHAnsi" w:cs="Arial"/>
          <w:color w:val="000000"/>
          <w:sz w:val="20"/>
          <w:szCs w:val="20"/>
          <w:shd w:val="clear" w:color="auto" w:fill="FFFFFF"/>
        </w:rPr>
        <w:t>around</w:t>
      </w:r>
      <w:r w:rsidRPr="00D65896">
        <w:rPr>
          <w:rFonts w:asciiTheme="minorHAnsi" w:hAnsiTheme="minorHAnsi" w:cs="Arial"/>
          <w:color w:val="000000"/>
          <w:sz w:val="20"/>
          <w:szCs w:val="20"/>
          <w:shd w:val="clear" w:color="auto" w:fill="FFFFFF"/>
        </w:rPr>
        <w:t xml:space="preserve"> €</w:t>
      </w:r>
      <w:r>
        <w:rPr>
          <w:rFonts w:asciiTheme="minorHAnsi" w:hAnsiTheme="minorHAnsi" w:cs="Arial"/>
          <w:color w:val="000000"/>
          <w:sz w:val="20"/>
          <w:szCs w:val="20"/>
          <w:shd w:val="clear" w:color="auto" w:fill="FFFFFF"/>
        </w:rPr>
        <w:t>30</w:t>
      </w:r>
      <w:r w:rsidRPr="00D65896">
        <w:rPr>
          <w:rFonts w:asciiTheme="minorHAnsi" w:hAnsiTheme="minorHAnsi" w:cs="Arial"/>
          <w:color w:val="000000"/>
          <w:sz w:val="20"/>
          <w:szCs w:val="20"/>
          <w:shd w:val="clear" w:color="auto" w:fill="FFFFFF"/>
        </w:rPr>
        <w:t xml:space="preserve">0 million. </w:t>
      </w:r>
    </w:p>
    <w:p w14:paraId="1E9CA1D9" w14:textId="77777777" w:rsidR="00473810" w:rsidRPr="00D65896" w:rsidRDefault="00473810" w:rsidP="000373A6">
      <w:pPr>
        <w:pStyle w:val="ListParagraph"/>
        <w:numPr>
          <w:ilvl w:val="0"/>
          <w:numId w:val="18"/>
        </w:numPr>
        <w:spacing w:after="0" w:line="280" w:lineRule="atLeast"/>
        <w:ind w:left="426"/>
        <w:jc w:val="both"/>
        <w:rPr>
          <w:rFonts w:asciiTheme="minorHAnsi" w:hAnsiTheme="minorHAnsi" w:cs="Arial"/>
          <w:sz w:val="20"/>
          <w:szCs w:val="20"/>
        </w:rPr>
      </w:pPr>
      <w:r w:rsidRPr="00D65896">
        <w:rPr>
          <w:rFonts w:asciiTheme="minorHAnsi" w:hAnsiTheme="minorHAnsi" w:cs="Arial"/>
          <w:color w:val="000000"/>
          <w:sz w:val="20"/>
          <w:szCs w:val="20"/>
          <w:shd w:val="clear" w:color="auto" w:fill="FFFFFF"/>
        </w:rPr>
        <w:t xml:space="preserve">The development of </w:t>
      </w:r>
      <w:r w:rsidRPr="00D65896">
        <w:rPr>
          <w:rFonts w:asciiTheme="minorHAnsi" w:hAnsiTheme="minorHAnsi" w:cs="Arial"/>
          <w:b/>
          <w:color w:val="000000"/>
          <w:sz w:val="20"/>
          <w:szCs w:val="20"/>
          <w:shd w:val="clear" w:color="auto" w:fill="FFFFFF"/>
        </w:rPr>
        <w:t>Primary Care Centres</w:t>
      </w:r>
      <w:r w:rsidRPr="00D65896">
        <w:rPr>
          <w:rFonts w:asciiTheme="minorHAnsi" w:hAnsiTheme="minorHAnsi" w:cs="Arial"/>
          <w:color w:val="000000"/>
          <w:sz w:val="20"/>
          <w:szCs w:val="20"/>
          <w:shd w:val="clear" w:color="auto" w:fill="FFFFFF"/>
        </w:rPr>
        <w:t xml:space="preserve"> </w:t>
      </w:r>
      <w:r>
        <w:rPr>
          <w:rFonts w:asciiTheme="minorHAnsi" w:hAnsiTheme="minorHAnsi" w:cs="Arial"/>
          <w:color w:val="000000"/>
          <w:sz w:val="20"/>
          <w:szCs w:val="20"/>
          <w:shd w:val="clear" w:color="auto" w:fill="FFFFFF"/>
        </w:rPr>
        <w:t xml:space="preserve">(PCCs) </w:t>
      </w:r>
      <w:r w:rsidRPr="00D65896">
        <w:rPr>
          <w:rFonts w:asciiTheme="minorHAnsi" w:hAnsiTheme="minorHAnsi" w:cs="Arial"/>
          <w:color w:val="000000"/>
          <w:sz w:val="20"/>
          <w:szCs w:val="20"/>
          <w:shd w:val="clear" w:color="auto" w:fill="FFFFFF"/>
        </w:rPr>
        <w:t>continues with 9</w:t>
      </w:r>
      <w:r>
        <w:rPr>
          <w:rFonts w:asciiTheme="minorHAnsi" w:hAnsiTheme="minorHAnsi" w:cs="Arial"/>
          <w:color w:val="000000"/>
          <w:sz w:val="20"/>
          <w:szCs w:val="20"/>
          <w:shd w:val="clear" w:color="auto" w:fill="FFFFFF"/>
        </w:rPr>
        <w:t>9</w:t>
      </w:r>
      <w:r w:rsidRPr="00D65896">
        <w:rPr>
          <w:rFonts w:asciiTheme="minorHAnsi" w:hAnsiTheme="minorHAnsi" w:cs="Arial"/>
          <w:color w:val="000000"/>
          <w:sz w:val="20"/>
          <w:szCs w:val="20"/>
          <w:shd w:val="clear" w:color="auto" w:fill="FFFFFF"/>
        </w:rPr>
        <w:t xml:space="preserve"> centres already in operation and a further </w:t>
      </w:r>
      <w:r>
        <w:rPr>
          <w:rFonts w:asciiTheme="minorHAnsi" w:hAnsiTheme="minorHAnsi" w:cs="Arial"/>
          <w:color w:val="000000"/>
          <w:sz w:val="20"/>
          <w:szCs w:val="20"/>
          <w:shd w:val="clear" w:color="auto" w:fill="FFFFFF"/>
        </w:rPr>
        <w:t>20</w:t>
      </w:r>
      <w:r w:rsidRPr="00D65896">
        <w:rPr>
          <w:rFonts w:asciiTheme="minorHAnsi" w:hAnsiTheme="minorHAnsi" w:cs="Arial"/>
          <w:color w:val="000000"/>
          <w:sz w:val="20"/>
          <w:szCs w:val="20"/>
          <w:shd w:val="clear" w:color="auto" w:fill="FFFFFF"/>
        </w:rPr>
        <w:t xml:space="preserve"> under construction. </w:t>
      </w:r>
      <w:r>
        <w:rPr>
          <w:rFonts w:asciiTheme="minorHAnsi" w:hAnsiTheme="minorHAnsi" w:cs="Arial"/>
          <w:color w:val="000000"/>
          <w:sz w:val="20"/>
          <w:szCs w:val="20"/>
          <w:shd w:val="clear" w:color="auto" w:fill="FFFFFF"/>
        </w:rPr>
        <w:t>30</w:t>
      </w:r>
      <w:r w:rsidRPr="00D65896">
        <w:rPr>
          <w:rFonts w:asciiTheme="minorHAnsi" w:hAnsiTheme="minorHAnsi" w:cs="Arial"/>
          <w:color w:val="000000"/>
          <w:sz w:val="20"/>
          <w:szCs w:val="20"/>
          <w:shd w:val="clear" w:color="auto" w:fill="FFFFFF"/>
        </w:rPr>
        <w:t xml:space="preserve"> PCCs </w:t>
      </w:r>
      <w:r>
        <w:rPr>
          <w:rFonts w:asciiTheme="minorHAnsi" w:hAnsiTheme="minorHAnsi" w:cs="Arial"/>
          <w:color w:val="000000"/>
          <w:sz w:val="20"/>
          <w:szCs w:val="20"/>
          <w:shd w:val="clear" w:color="auto" w:fill="FFFFFF"/>
        </w:rPr>
        <w:t>are due to open in 2017/2018.</w:t>
      </w:r>
      <w:r w:rsidRPr="00D65896">
        <w:rPr>
          <w:rFonts w:asciiTheme="minorHAnsi" w:hAnsiTheme="minorHAnsi" w:cs="Arial"/>
          <w:color w:val="000000"/>
          <w:sz w:val="20"/>
          <w:szCs w:val="20"/>
          <w:shd w:val="clear" w:color="auto" w:fill="FFFFFF"/>
        </w:rPr>
        <w:t xml:space="preserve"> A total of 14 PCCs, comprising a total gross floor area of 40,753 square metres, </w:t>
      </w:r>
      <w:r>
        <w:rPr>
          <w:rFonts w:asciiTheme="minorHAnsi" w:hAnsiTheme="minorHAnsi" w:cs="Arial"/>
          <w:color w:val="000000"/>
          <w:sz w:val="20"/>
          <w:szCs w:val="20"/>
          <w:shd w:val="clear" w:color="auto" w:fill="FFFFFF"/>
        </w:rPr>
        <w:t>are being</w:t>
      </w:r>
      <w:r w:rsidRPr="00D65896">
        <w:rPr>
          <w:rFonts w:asciiTheme="minorHAnsi" w:hAnsiTheme="minorHAnsi" w:cs="Arial"/>
          <w:color w:val="000000"/>
          <w:sz w:val="20"/>
          <w:szCs w:val="20"/>
          <w:shd w:val="clear" w:color="auto" w:fill="FFFFFF"/>
        </w:rPr>
        <w:t xml:space="preserve"> delivered under PPP schemes</w:t>
      </w:r>
      <w:r>
        <w:rPr>
          <w:rFonts w:asciiTheme="minorHAnsi" w:hAnsiTheme="minorHAnsi" w:cs="Arial"/>
          <w:color w:val="000000"/>
          <w:sz w:val="20"/>
          <w:szCs w:val="20"/>
          <w:shd w:val="clear" w:color="auto" w:fill="FFFFFF"/>
        </w:rPr>
        <w:t xml:space="preserve"> over the next twelve months</w:t>
      </w:r>
      <w:r w:rsidRPr="00D65896">
        <w:rPr>
          <w:rFonts w:asciiTheme="minorHAnsi" w:hAnsiTheme="minorHAnsi" w:cs="Arial"/>
          <w:color w:val="000000"/>
          <w:sz w:val="20"/>
          <w:szCs w:val="20"/>
          <w:shd w:val="clear" w:color="auto" w:fill="FFFFFF"/>
        </w:rPr>
        <w:t>.</w:t>
      </w:r>
    </w:p>
    <w:p w14:paraId="79F9C770" w14:textId="77777777" w:rsidR="00473810" w:rsidRPr="00D65896" w:rsidRDefault="00473810" w:rsidP="000373A6">
      <w:pPr>
        <w:pStyle w:val="ListParagraph"/>
        <w:numPr>
          <w:ilvl w:val="0"/>
          <w:numId w:val="18"/>
        </w:numPr>
        <w:spacing w:after="0" w:line="280" w:lineRule="atLeast"/>
        <w:ind w:left="426"/>
        <w:jc w:val="both"/>
        <w:rPr>
          <w:rFonts w:asciiTheme="minorHAnsi" w:hAnsiTheme="minorHAnsi" w:cs="Arial"/>
          <w:sz w:val="20"/>
          <w:szCs w:val="20"/>
        </w:rPr>
      </w:pPr>
      <w:r w:rsidRPr="00D65896">
        <w:rPr>
          <w:rFonts w:asciiTheme="minorHAnsi" w:hAnsiTheme="minorHAnsi" w:cs="Arial"/>
          <w:color w:val="000000"/>
          <w:sz w:val="20"/>
          <w:szCs w:val="20"/>
          <w:shd w:val="clear" w:color="auto" w:fill="FFFFFF"/>
        </w:rPr>
        <w:t xml:space="preserve">Separately, there is also a medium-term requirement to upgrade/replace existing </w:t>
      </w:r>
      <w:r w:rsidRPr="00D65896">
        <w:rPr>
          <w:rFonts w:asciiTheme="minorHAnsi" w:hAnsiTheme="minorHAnsi" w:cs="Arial"/>
          <w:b/>
          <w:color w:val="000000"/>
          <w:sz w:val="20"/>
          <w:szCs w:val="20"/>
          <w:shd w:val="clear" w:color="auto" w:fill="FFFFFF"/>
        </w:rPr>
        <w:t xml:space="preserve">Community Nursing </w:t>
      </w:r>
      <w:r>
        <w:rPr>
          <w:rFonts w:asciiTheme="minorHAnsi" w:hAnsiTheme="minorHAnsi" w:cs="Arial"/>
          <w:b/>
          <w:color w:val="000000"/>
          <w:sz w:val="20"/>
          <w:szCs w:val="20"/>
          <w:shd w:val="clear" w:color="auto" w:fill="FFFFFF"/>
        </w:rPr>
        <w:t>U</w:t>
      </w:r>
      <w:r w:rsidRPr="00D65896">
        <w:rPr>
          <w:rFonts w:asciiTheme="minorHAnsi" w:hAnsiTheme="minorHAnsi" w:cs="Arial"/>
          <w:b/>
          <w:color w:val="000000"/>
          <w:sz w:val="20"/>
          <w:szCs w:val="20"/>
          <w:shd w:val="clear" w:color="auto" w:fill="FFFFFF"/>
        </w:rPr>
        <w:t>nits</w:t>
      </w:r>
      <w:r w:rsidRPr="00D65896">
        <w:rPr>
          <w:rFonts w:asciiTheme="minorHAnsi" w:hAnsiTheme="minorHAnsi" w:cs="Arial"/>
          <w:color w:val="000000"/>
          <w:sz w:val="20"/>
          <w:szCs w:val="20"/>
          <w:shd w:val="clear" w:color="auto" w:fill="FFFFFF"/>
        </w:rPr>
        <w:t xml:space="preserve"> to meets HIQA (Health Information and Quality Authority) accommodation standards plus a need for additional capacity. The potential investment required is of the order of €800 million.</w:t>
      </w:r>
    </w:p>
    <w:p w14:paraId="3408F7FC" w14:textId="4C561752" w:rsidR="004360F5" w:rsidRDefault="004360F5" w:rsidP="008A0E3C">
      <w:pPr>
        <w:spacing w:line="276" w:lineRule="auto"/>
      </w:pPr>
      <w:r>
        <w:br w:type="page"/>
      </w:r>
    </w:p>
    <w:p w14:paraId="571E3D30" w14:textId="1E99C71E" w:rsidR="00473810" w:rsidRPr="00AE07BB" w:rsidRDefault="004360F5" w:rsidP="004360F5">
      <w:pPr>
        <w:pStyle w:val="DKM1"/>
        <w:rPr>
          <w:sz w:val="24"/>
          <w:szCs w:val="24"/>
        </w:rPr>
      </w:pPr>
      <w:bookmarkStart w:id="60" w:name="_Toc478116707"/>
      <w:r w:rsidRPr="00AE07BB">
        <w:rPr>
          <w:sz w:val="24"/>
          <w:szCs w:val="24"/>
        </w:rPr>
        <w:t xml:space="preserve">Appendix 3: Pipeline of </w:t>
      </w:r>
      <w:r w:rsidR="008D7F83" w:rsidRPr="00AE07BB">
        <w:rPr>
          <w:sz w:val="24"/>
          <w:szCs w:val="24"/>
        </w:rPr>
        <w:t xml:space="preserve">Transport </w:t>
      </w:r>
      <w:r w:rsidRPr="00AE07BB">
        <w:rPr>
          <w:sz w:val="24"/>
          <w:szCs w:val="24"/>
        </w:rPr>
        <w:t>Projects</w:t>
      </w:r>
      <w:bookmarkEnd w:id="60"/>
    </w:p>
    <w:p w14:paraId="25068953" w14:textId="781078E1" w:rsidR="004360F5" w:rsidRPr="004360F5" w:rsidRDefault="004360F5" w:rsidP="004360F5">
      <w:pPr>
        <w:autoSpaceDE w:val="0"/>
        <w:autoSpaceDN w:val="0"/>
        <w:adjustRightInd w:val="0"/>
        <w:spacing w:line="240" w:lineRule="auto"/>
        <w:rPr>
          <w:sz w:val="20"/>
          <w:szCs w:val="20"/>
        </w:rPr>
      </w:pPr>
      <w:r>
        <w:rPr>
          <w:sz w:val="20"/>
          <w:szCs w:val="20"/>
        </w:rPr>
        <w:t>The</w:t>
      </w:r>
      <w:r w:rsidRPr="004360F5">
        <w:rPr>
          <w:sz w:val="20"/>
          <w:szCs w:val="20"/>
        </w:rPr>
        <w:t xml:space="preserve"> following National Road projects have planning but most are unlikely to start until 2019 or later</w:t>
      </w:r>
      <w:r w:rsidRPr="004360F5">
        <w:rPr>
          <w:rStyle w:val="FootnoteReference"/>
          <w:sz w:val="20"/>
          <w:szCs w:val="20"/>
        </w:rPr>
        <w:footnoteReference w:id="81"/>
      </w:r>
      <w:r w:rsidRPr="004360F5">
        <w:rPr>
          <w:sz w:val="20"/>
          <w:szCs w:val="20"/>
        </w:rPr>
        <w:t>:</w:t>
      </w:r>
    </w:p>
    <w:p w14:paraId="06CF0002" w14:textId="77777777" w:rsidR="004360F5" w:rsidRPr="004360F5" w:rsidRDefault="004360F5" w:rsidP="004360F5">
      <w:pPr>
        <w:autoSpaceDE w:val="0"/>
        <w:autoSpaceDN w:val="0"/>
        <w:adjustRightInd w:val="0"/>
        <w:spacing w:line="240" w:lineRule="auto"/>
        <w:rPr>
          <w:rFonts w:cs="HelveticaNeue-Light"/>
          <w:sz w:val="20"/>
          <w:szCs w:val="20"/>
        </w:rPr>
      </w:pPr>
    </w:p>
    <w:tbl>
      <w:tblPr>
        <w:tblW w:w="7449" w:type="dxa"/>
        <w:tblLook w:val="0420" w:firstRow="1" w:lastRow="0" w:firstColumn="0" w:lastColumn="0" w:noHBand="0" w:noVBand="1"/>
      </w:tblPr>
      <w:tblGrid>
        <w:gridCol w:w="2552"/>
        <w:gridCol w:w="2977"/>
        <w:gridCol w:w="960"/>
        <w:gridCol w:w="960"/>
      </w:tblGrid>
      <w:tr w:rsidR="004360F5" w:rsidRPr="004360F5" w14:paraId="58CF18F0" w14:textId="77777777" w:rsidTr="00485057">
        <w:trPr>
          <w:trHeight w:val="113"/>
        </w:trPr>
        <w:tc>
          <w:tcPr>
            <w:tcW w:w="2552" w:type="dxa"/>
            <w:tcBorders>
              <w:top w:val="nil"/>
              <w:left w:val="nil"/>
              <w:bottom w:val="nil"/>
              <w:right w:val="nil"/>
            </w:tcBorders>
            <w:shd w:val="clear" w:color="auto" w:fill="auto"/>
            <w:noWrap/>
            <w:vAlign w:val="center"/>
            <w:hideMark/>
          </w:tcPr>
          <w:p w14:paraId="4E4011CF" w14:textId="77777777" w:rsidR="004360F5" w:rsidRPr="004360F5" w:rsidRDefault="004360F5" w:rsidP="00485057">
            <w:pPr>
              <w:spacing w:line="240" w:lineRule="auto"/>
              <w:jc w:val="left"/>
              <w:rPr>
                <w:rFonts w:eastAsia="Times New Roman" w:cs="Times New Roman"/>
                <w:b/>
                <w:bCs/>
                <w:color w:val="000000"/>
                <w:sz w:val="20"/>
                <w:szCs w:val="20"/>
              </w:rPr>
            </w:pPr>
            <w:r w:rsidRPr="004360F5">
              <w:rPr>
                <w:rFonts w:eastAsia="Times New Roman" w:cs="Times New Roman"/>
                <w:b/>
                <w:bCs/>
                <w:color w:val="000000"/>
                <w:sz w:val="20"/>
                <w:szCs w:val="20"/>
              </w:rPr>
              <w:t>Project</w:t>
            </w:r>
          </w:p>
        </w:tc>
        <w:tc>
          <w:tcPr>
            <w:tcW w:w="2977" w:type="dxa"/>
            <w:tcBorders>
              <w:top w:val="nil"/>
              <w:left w:val="nil"/>
              <w:bottom w:val="nil"/>
              <w:right w:val="nil"/>
            </w:tcBorders>
            <w:shd w:val="clear" w:color="auto" w:fill="auto"/>
            <w:noWrap/>
            <w:vAlign w:val="center"/>
            <w:hideMark/>
          </w:tcPr>
          <w:p w14:paraId="0AF81E2D" w14:textId="77777777" w:rsidR="004360F5" w:rsidRPr="004360F5" w:rsidRDefault="004360F5" w:rsidP="00485057">
            <w:pPr>
              <w:spacing w:line="240" w:lineRule="auto"/>
              <w:jc w:val="left"/>
              <w:rPr>
                <w:rFonts w:eastAsia="Times New Roman" w:cs="Times New Roman"/>
                <w:b/>
                <w:bCs/>
                <w:color w:val="000000"/>
                <w:sz w:val="20"/>
                <w:szCs w:val="20"/>
              </w:rPr>
            </w:pPr>
            <w:r w:rsidRPr="004360F5">
              <w:rPr>
                <w:rFonts w:eastAsia="Times New Roman" w:cs="Times New Roman"/>
                <w:b/>
                <w:bCs/>
                <w:color w:val="000000"/>
                <w:sz w:val="20"/>
                <w:szCs w:val="20"/>
              </w:rPr>
              <w:t>Status</w:t>
            </w:r>
          </w:p>
        </w:tc>
        <w:tc>
          <w:tcPr>
            <w:tcW w:w="960" w:type="dxa"/>
            <w:tcBorders>
              <w:top w:val="nil"/>
              <w:left w:val="nil"/>
              <w:bottom w:val="nil"/>
              <w:right w:val="nil"/>
            </w:tcBorders>
            <w:shd w:val="clear" w:color="auto" w:fill="auto"/>
            <w:noWrap/>
            <w:vAlign w:val="center"/>
            <w:hideMark/>
          </w:tcPr>
          <w:p w14:paraId="6BAA4E01" w14:textId="77777777" w:rsidR="004360F5" w:rsidRPr="004360F5" w:rsidRDefault="004360F5" w:rsidP="00485057">
            <w:pPr>
              <w:spacing w:line="240" w:lineRule="auto"/>
              <w:jc w:val="left"/>
              <w:rPr>
                <w:rFonts w:eastAsia="Times New Roman" w:cs="Times New Roman"/>
                <w:b/>
                <w:bCs/>
                <w:color w:val="000000"/>
                <w:sz w:val="20"/>
                <w:szCs w:val="20"/>
              </w:rPr>
            </w:pPr>
            <w:r w:rsidRPr="004360F5">
              <w:rPr>
                <w:rFonts w:eastAsia="Times New Roman" w:cs="Times New Roman"/>
                <w:b/>
                <w:bCs/>
                <w:color w:val="000000"/>
                <w:sz w:val="20"/>
                <w:szCs w:val="20"/>
              </w:rPr>
              <w:t>Start</w:t>
            </w:r>
          </w:p>
        </w:tc>
        <w:tc>
          <w:tcPr>
            <w:tcW w:w="960" w:type="dxa"/>
            <w:tcBorders>
              <w:top w:val="nil"/>
              <w:left w:val="nil"/>
              <w:bottom w:val="nil"/>
              <w:right w:val="nil"/>
            </w:tcBorders>
            <w:shd w:val="clear" w:color="auto" w:fill="auto"/>
            <w:noWrap/>
            <w:vAlign w:val="center"/>
            <w:hideMark/>
          </w:tcPr>
          <w:p w14:paraId="7F7F7C43" w14:textId="77777777" w:rsidR="004360F5" w:rsidRPr="004360F5" w:rsidRDefault="004360F5" w:rsidP="00485057">
            <w:pPr>
              <w:spacing w:line="240" w:lineRule="auto"/>
              <w:jc w:val="left"/>
              <w:rPr>
                <w:rFonts w:eastAsia="Times New Roman" w:cs="Times New Roman"/>
                <w:b/>
                <w:bCs/>
                <w:color w:val="000000"/>
                <w:sz w:val="20"/>
                <w:szCs w:val="20"/>
              </w:rPr>
            </w:pPr>
            <w:r w:rsidRPr="004360F5">
              <w:rPr>
                <w:rFonts w:eastAsia="Times New Roman" w:cs="Times New Roman"/>
                <w:b/>
                <w:bCs/>
                <w:color w:val="000000"/>
                <w:sz w:val="20"/>
                <w:szCs w:val="20"/>
              </w:rPr>
              <w:t>Finish</w:t>
            </w:r>
          </w:p>
        </w:tc>
      </w:tr>
      <w:tr w:rsidR="004360F5" w:rsidRPr="004360F5" w14:paraId="5A851C10" w14:textId="77777777" w:rsidTr="00485057">
        <w:trPr>
          <w:trHeight w:val="113"/>
        </w:trPr>
        <w:tc>
          <w:tcPr>
            <w:tcW w:w="2552" w:type="dxa"/>
            <w:tcBorders>
              <w:top w:val="nil"/>
              <w:left w:val="nil"/>
              <w:bottom w:val="nil"/>
              <w:right w:val="nil"/>
            </w:tcBorders>
            <w:shd w:val="clear" w:color="auto" w:fill="auto"/>
            <w:noWrap/>
            <w:vAlign w:val="center"/>
            <w:hideMark/>
          </w:tcPr>
          <w:p w14:paraId="1BFCA01B"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M7 Naas Newbridge upgrade</w:t>
            </w:r>
          </w:p>
        </w:tc>
        <w:tc>
          <w:tcPr>
            <w:tcW w:w="2977" w:type="dxa"/>
            <w:tcBorders>
              <w:top w:val="nil"/>
              <w:left w:val="nil"/>
              <w:bottom w:val="nil"/>
              <w:right w:val="nil"/>
            </w:tcBorders>
            <w:shd w:val="clear" w:color="auto" w:fill="auto"/>
            <w:noWrap/>
            <w:vAlign w:val="center"/>
            <w:hideMark/>
          </w:tcPr>
          <w:p w14:paraId="4596FB62"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Combined with Sallins B/P &amp; Osberstown Interchange</w:t>
            </w:r>
          </w:p>
        </w:tc>
        <w:tc>
          <w:tcPr>
            <w:tcW w:w="960" w:type="dxa"/>
            <w:tcBorders>
              <w:top w:val="nil"/>
              <w:left w:val="nil"/>
              <w:bottom w:val="nil"/>
              <w:right w:val="nil"/>
            </w:tcBorders>
            <w:shd w:val="clear" w:color="auto" w:fill="auto"/>
            <w:noWrap/>
            <w:vAlign w:val="center"/>
            <w:hideMark/>
          </w:tcPr>
          <w:p w14:paraId="4C36B4B2"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2017</w:t>
            </w:r>
          </w:p>
        </w:tc>
        <w:tc>
          <w:tcPr>
            <w:tcW w:w="960" w:type="dxa"/>
            <w:tcBorders>
              <w:top w:val="nil"/>
              <w:left w:val="nil"/>
              <w:bottom w:val="nil"/>
              <w:right w:val="nil"/>
            </w:tcBorders>
            <w:shd w:val="clear" w:color="auto" w:fill="auto"/>
            <w:noWrap/>
            <w:vAlign w:val="center"/>
            <w:hideMark/>
          </w:tcPr>
          <w:p w14:paraId="69BEDF30"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2020</w:t>
            </w:r>
          </w:p>
        </w:tc>
      </w:tr>
      <w:tr w:rsidR="004360F5" w:rsidRPr="004360F5" w14:paraId="25C86786" w14:textId="77777777" w:rsidTr="00485057">
        <w:trPr>
          <w:trHeight w:val="113"/>
        </w:trPr>
        <w:tc>
          <w:tcPr>
            <w:tcW w:w="2552" w:type="dxa"/>
            <w:tcBorders>
              <w:top w:val="nil"/>
              <w:left w:val="nil"/>
              <w:bottom w:val="nil"/>
              <w:right w:val="nil"/>
            </w:tcBorders>
            <w:shd w:val="clear" w:color="auto" w:fill="auto"/>
            <w:noWrap/>
            <w:vAlign w:val="center"/>
            <w:hideMark/>
          </w:tcPr>
          <w:p w14:paraId="3F9273AB"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N8/N25/N40 Dunkettle</w:t>
            </w:r>
          </w:p>
        </w:tc>
        <w:tc>
          <w:tcPr>
            <w:tcW w:w="2977" w:type="dxa"/>
            <w:tcBorders>
              <w:top w:val="nil"/>
              <w:left w:val="nil"/>
              <w:bottom w:val="nil"/>
              <w:right w:val="nil"/>
            </w:tcBorders>
            <w:shd w:val="clear" w:color="auto" w:fill="auto"/>
            <w:noWrap/>
            <w:vAlign w:val="center"/>
            <w:hideMark/>
          </w:tcPr>
          <w:p w14:paraId="706C4980"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ECI contract</w:t>
            </w:r>
          </w:p>
        </w:tc>
        <w:tc>
          <w:tcPr>
            <w:tcW w:w="960" w:type="dxa"/>
            <w:tcBorders>
              <w:top w:val="nil"/>
              <w:left w:val="nil"/>
              <w:bottom w:val="nil"/>
              <w:right w:val="nil"/>
            </w:tcBorders>
            <w:shd w:val="clear" w:color="auto" w:fill="auto"/>
            <w:noWrap/>
            <w:vAlign w:val="center"/>
            <w:hideMark/>
          </w:tcPr>
          <w:p w14:paraId="054CA04D"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2019</w:t>
            </w:r>
          </w:p>
        </w:tc>
        <w:tc>
          <w:tcPr>
            <w:tcW w:w="960" w:type="dxa"/>
            <w:tcBorders>
              <w:top w:val="nil"/>
              <w:left w:val="nil"/>
              <w:bottom w:val="nil"/>
              <w:right w:val="nil"/>
            </w:tcBorders>
            <w:shd w:val="clear" w:color="auto" w:fill="auto"/>
            <w:noWrap/>
            <w:vAlign w:val="center"/>
            <w:hideMark/>
          </w:tcPr>
          <w:p w14:paraId="67AE538E"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2021</w:t>
            </w:r>
          </w:p>
        </w:tc>
      </w:tr>
      <w:tr w:rsidR="004360F5" w:rsidRPr="004360F5" w14:paraId="31D38417" w14:textId="77777777" w:rsidTr="00485057">
        <w:trPr>
          <w:trHeight w:val="113"/>
        </w:trPr>
        <w:tc>
          <w:tcPr>
            <w:tcW w:w="2552" w:type="dxa"/>
            <w:tcBorders>
              <w:top w:val="nil"/>
              <w:left w:val="nil"/>
              <w:bottom w:val="nil"/>
              <w:right w:val="nil"/>
            </w:tcBorders>
            <w:shd w:val="clear" w:color="auto" w:fill="auto"/>
            <w:noWrap/>
            <w:vAlign w:val="center"/>
            <w:hideMark/>
          </w:tcPr>
          <w:p w14:paraId="1438399A"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N4 Collooney/ Castlebaldwin</w:t>
            </w:r>
          </w:p>
        </w:tc>
        <w:tc>
          <w:tcPr>
            <w:tcW w:w="2977" w:type="dxa"/>
            <w:tcBorders>
              <w:top w:val="nil"/>
              <w:left w:val="nil"/>
              <w:bottom w:val="nil"/>
              <w:right w:val="nil"/>
            </w:tcBorders>
            <w:shd w:val="clear" w:color="auto" w:fill="auto"/>
            <w:noWrap/>
            <w:vAlign w:val="center"/>
            <w:hideMark/>
          </w:tcPr>
          <w:p w14:paraId="4C068C15"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Advance works underway</w:t>
            </w:r>
          </w:p>
        </w:tc>
        <w:tc>
          <w:tcPr>
            <w:tcW w:w="960" w:type="dxa"/>
            <w:tcBorders>
              <w:top w:val="nil"/>
              <w:left w:val="nil"/>
              <w:bottom w:val="nil"/>
              <w:right w:val="nil"/>
            </w:tcBorders>
            <w:shd w:val="clear" w:color="auto" w:fill="auto"/>
            <w:noWrap/>
            <w:vAlign w:val="center"/>
            <w:hideMark/>
          </w:tcPr>
          <w:p w14:paraId="3238D1E1"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2019</w:t>
            </w:r>
          </w:p>
        </w:tc>
        <w:tc>
          <w:tcPr>
            <w:tcW w:w="960" w:type="dxa"/>
            <w:tcBorders>
              <w:top w:val="nil"/>
              <w:left w:val="nil"/>
              <w:bottom w:val="nil"/>
              <w:right w:val="nil"/>
            </w:tcBorders>
            <w:shd w:val="clear" w:color="auto" w:fill="auto"/>
            <w:noWrap/>
            <w:vAlign w:val="center"/>
            <w:hideMark/>
          </w:tcPr>
          <w:p w14:paraId="48D86CD2"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2021</w:t>
            </w:r>
          </w:p>
        </w:tc>
      </w:tr>
      <w:tr w:rsidR="004360F5" w:rsidRPr="004360F5" w14:paraId="707DC017" w14:textId="77777777" w:rsidTr="00485057">
        <w:trPr>
          <w:trHeight w:val="113"/>
        </w:trPr>
        <w:tc>
          <w:tcPr>
            <w:tcW w:w="2552" w:type="dxa"/>
            <w:tcBorders>
              <w:top w:val="nil"/>
              <w:left w:val="nil"/>
              <w:bottom w:val="nil"/>
              <w:right w:val="nil"/>
            </w:tcBorders>
            <w:shd w:val="clear" w:color="auto" w:fill="auto"/>
            <w:noWrap/>
            <w:vAlign w:val="center"/>
            <w:hideMark/>
          </w:tcPr>
          <w:p w14:paraId="1A7F2AFE"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N22 Ballyvourney to Macroom</w:t>
            </w:r>
          </w:p>
        </w:tc>
        <w:tc>
          <w:tcPr>
            <w:tcW w:w="2977" w:type="dxa"/>
            <w:tcBorders>
              <w:top w:val="nil"/>
              <w:left w:val="nil"/>
              <w:bottom w:val="nil"/>
              <w:right w:val="nil"/>
            </w:tcBorders>
            <w:shd w:val="clear" w:color="auto" w:fill="auto"/>
            <w:noWrap/>
            <w:vAlign w:val="center"/>
            <w:hideMark/>
          </w:tcPr>
          <w:p w14:paraId="1BA11470"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Advance works underway</w:t>
            </w:r>
          </w:p>
        </w:tc>
        <w:tc>
          <w:tcPr>
            <w:tcW w:w="960" w:type="dxa"/>
            <w:tcBorders>
              <w:top w:val="nil"/>
              <w:left w:val="nil"/>
              <w:bottom w:val="nil"/>
              <w:right w:val="nil"/>
            </w:tcBorders>
            <w:shd w:val="clear" w:color="auto" w:fill="auto"/>
            <w:noWrap/>
            <w:vAlign w:val="center"/>
            <w:hideMark/>
          </w:tcPr>
          <w:p w14:paraId="0D99CF14"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2020</w:t>
            </w:r>
          </w:p>
        </w:tc>
        <w:tc>
          <w:tcPr>
            <w:tcW w:w="960" w:type="dxa"/>
            <w:tcBorders>
              <w:top w:val="nil"/>
              <w:left w:val="nil"/>
              <w:bottom w:val="nil"/>
              <w:right w:val="nil"/>
            </w:tcBorders>
            <w:shd w:val="clear" w:color="auto" w:fill="auto"/>
            <w:noWrap/>
            <w:vAlign w:val="center"/>
            <w:hideMark/>
          </w:tcPr>
          <w:p w14:paraId="60A9E331"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2022</w:t>
            </w:r>
          </w:p>
        </w:tc>
      </w:tr>
      <w:tr w:rsidR="004360F5" w:rsidRPr="004360F5" w14:paraId="1555A2D4" w14:textId="77777777" w:rsidTr="00485057">
        <w:trPr>
          <w:trHeight w:val="113"/>
        </w:trPr>
        <w:tc>
          <w:tcPr>
            <w:tcW w:w="2552" w:type="dxa"/>
            <w:tcBorders>
              <w:top w:val="nil"/>
              <w:left w:val="nil"/>
              <w:bottom w:val="nil"/>
              <w:right w:val="nil"/>
            </w:tcBorders>
            <w:shd w:val="clear" w:color="auto" w:fill="auto"/>
            <w:noWrap/>
            <w:vAlign w:val="center"/>
            <w:hideMark/>
          </w:tcPr>
          <w:p w14:paraId="233F24C6"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N5 Westport to Turlough</w:t>
            </w:r>
          </w:p>
        </w:tc>
        <w:tc>
          <w:tcPr>
            <w:tcW w:w="2977" w:type="dxa"/>
            <w:tcBorders>
              <w:top w:val="nil"/>
              <w:left w:val="nil"/>
              <w:bottom w:val="nil"/>
              <w:right w:val="nil"/>
            </w:tcBorders>
            <w:shd w:val="clear" w:color="auto" w:fill="auto"/>
            <w:noWrap/>
            <w:vAlign w:val="center"/>
            <w:hideMark/>
          </w:tcPr>
          <w:p w14:paraId="4872817E"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Advance works underway</w:t>
            </w:r>
          </w:p>
        </w:tc>
        <w:tc>
          <w:tcPr>
            <w:tcW w:w="960" w:type="dxa"/>
            <w:tcBorders>
              <w:top w:val="nil"/>
              <w:left w:val="nil"/>
              <w:bottom w:val="nil"/>
              <w:right w:val="nil"/>
            </w:tcBorders>
            <w:shd w:val="clear" w:color="auto" w:fill="auto"/>
            <w:noWrap/>
            <w:vAlign w:val="center"/>
            <w:hideMark/>
          </w:tcPr>
          <w:p w14:paraId="6BDE9623"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2021</w:t>
            </w:r>
          </w:p>
        </w:tc>
        <w:tc>
          <w:tcPr>
            <w:tcW w:w="960" w:type="dxa"/>
            <w:tcBorders>
              <w:top w:val="nil"/>
              <w:left w:val="nil"/>
              <w:bottom w:val="nil"/>
              <w:right w:val="nil"/>
            </w:tcBorders>
            <w:shd w:val="clear" w:color="auto" w:fill="auto"/>
            <w:noWrap/>
            <w:vAlign w:val="center"/>
            <w:hideMark/>
          </w:tcPr>
          <w:p w14:paraId="5532B4F9"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2023</w:t>
            </w:r>
          </w:p>
        </w:tc>
      </w:tr>
      <w:tr w:rsidR="004360F5" w:rsidRPr="004360F5" w14:paraId="7331DD8B" w14:textId="77777777" w:rsidTr="00485057">
        <w:trPr>
          <w:trHeight w:val="113"/>
        </w:trPr>
        <w:tc>
          <w:tcPr>
            <w:tcW w:w="2552" w:type="dxa"/>
            <w:tcBorders>
              <w:top w:val="nil"/>
              <w:left w:val="nil"/>
              <w:bottom w:val="nil"/>
              <w:right w:val="nil"/>
            </w:tcBorders>
            <w:shd w:val="clear" w:color="auto" w:fill="auto"/>
            <w:noWrap/>
            <w:vAlign w:val="center"/>
            <w:hideMark/>
          </w:tcPr>
          <w:p w14:paraId="115467D9"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N59 Moycullen Bypass</w:t>
            </w:r>
          </w:p>
        </w:tc>
        <w:tc>
          <w:tcPr>
            <w:tcW w:w="2977" w:type="dxa"/>
            <w:tcBorders>
              <w:top w:val="nil"/>
              <w:left w:val="nil"/>
              <w:bottom w:val="nil"/>
              <w:right w:val="nil"/>
            </w:tcBorders>
            <w:shd w:val="clear" w:color="auto" w:fill="auto"/>
            <w:noWrap/>
            <w:vAlign w:val="center"/>
            <w:hideMark/>
          </w:tcPr>
          <w:p w14:paraId="6E20B896"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Section of on-line improvement completed</w:t>
            </w:r>
          </w:p>
        </w:tc>
        <w:tc>
          <w:tcPr>
            <w:tcW w:w="960" w:type="dxa"/>
            <w:tcBorders>
              <w:top w:val="nil"/>
              <w:left w:val="nil"/>
              <w:bottom w:val="nil"/>
              <w:right w:val="nil"/>
            </w:tcBorders>
            <w:shd w:val="clear" w:color="auto" w:fill="auto"/>
            <w:noWrap/>
            <w:vAlign w:val="center"/>
            <w:hideMark/>
          </w:tcPr>
          <w:p w14:paraId="78563AA4"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2021</w:t>
            </w:r>
          </w:p>
        </w:tc>
        <w:tc>
          <w:tcPr>
            <w:tcW w:w="960" w:type="dxa"/>
            <w:tcBorders>
              <w:top w:val="nil"/>
              <w:left w:val="nil"/>
              <w:bottom w:val="nil"/>
              <w:right w:val="nil"/>
            </w:tcBorders>
            <w:shd w:val="clear" w:color="auto" w:fill="auto"/>
            <w:noWrap/>
            <w:vAlign w:val="center"/>
            <w:hideMark/>
          </w:tcPr>
          <w:p w14:paraId="1F149200"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2022</w:t>
            </w:r>
          </w:p>
        </w:tc>
      </w:tr>
      <w:tr w:rsidR="004360F5" w:rsidRPr="004360F5" w14:paraId="5E0A7350" w14:textId="77777777" w:rsidTr="00485057">
        <w:trPr>
          <w:trHeight w:val="113"/>
        </w:trPr>
        <w:tc>
          <w:tcPr>
            <w:tcW w:w="2552" w:type="dxa"/>
            <w:tcBorders>
              <w:top w:val="nil"/>
              <w:left w:val="nil"/>
              <w:bottom w:val="nil"/>
              <w:right w:val="nil"/>
            </w:tcBorders>
            <w:shd w:val="clear" w:color="auto" w:fill="auto"/>
            <w:noWrap/>
            <w:vAlign w:val="center"/>
            <w:hideMark/>
          </w:tcPr>
          <w:p w14:paraId="5B0D0BA4"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N56 Mountcharles to Inver</w:t>
            </w:r>
          </w:p>
        </w:tc>
        <w:tc>
          <w:tcPr>
            <w:tcW w:w="2977" w:type="dxa"/>
            <w:tcBorders>
              <w:top w:val="nil"/>
              <w:left w:val="nil"/>
              <w:bottom w:val="nil"/>
              <w:right w:val="nil"/>
            </w:tcBorders>
            <w:shd w:val="clear" w:color="auto" w:fill="auto"/>
            <w:noWrap/>
            <w:vAlign w:val="center"/>
            <w:hideMark/>
          </w:tcPr>
          <w:p w14:paraId="1E846D05"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Timescale relates to Phase 1</w:t>
            </w:r>
          </w:p>
        </w:tc>
        <w:tc>
          <w:tcPr>
            <w:tcW w:w="960" w:type="dxa"/>
            <w:tcBorders>
              <w:top w:val="nil"/>
              <w:left w:val="nil"/>
              <w:bottom w:val="nil"/>
              <w:right w:val="nil"/>
            </w:tcBorders>
            <w:shd w:val="clear" w:color="auto" w:fill="auto"/>
            <w:noWrap/>
            <w:vAlign w:val="center"/>
            <w:hideMark/>
          </w:tcPr>
          <w:p w14:paraId="59571582"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2017</w:t>
            </w:r>
          </w:p>
        </w:tc>
        <w:tc>
          <w:tcPr>
            <w:tcW w:w="960" w:type="dxa"/>
            <w:tcBorders>
              <w:top w:val="nil"/>
              <w:left w:val="nil"/>
              <w:bottom w:val="nil"/>
              <w:right w:val="nil"/>
            </w:tcBorders>
            <w:shd w:val="clear" w:color="auto" w:fill="auto"/>
            <w:noWrap/>
            <w:vAlign w:val="center"/>
            <w:hideMark/>
          </w:tcPr>
          <w:p w14:paraId="7CE0FB02"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2019</w:t>
            </w:r>
          </w:p>
        </w:tc>
      </w:tr>
      <w:tr w:rsidR="004360F5" w:rsidRPr="004360F5" w14:paraId="43EA49F8" w14:textId="77777777" w:rsidTr="00485057">
        <w:trPr>
          <w:trHeight w:val="113"/>
        </w:trPr>
        <w:tc>
          <w:tcPr>
            <w:tcW w:w="2552" w:type="dxa"/>
            <w:tcBorders>
              <w:top w:val="nil"/>
              <w:left w:val="nil"/>
              <w:bottom w:val="nil"/>
              <w:right w:val="nil"/>
            </w:tcBorders>
            <w:shd w:val="clear" w:color="auto" w:fill="auto"/>
            <w:noWrap/>
            <w:vAlign w:val="center"/>
            <w:hideMark/>
          </w:tcPr>
          <w:p w14:paraId="51F69A01"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N56 Dungloe to Glenties</w:t>
            </w:r>
          </w:p>
        </w:tc>
        <w:tc>
          <w:tcPr>
            <w:tcW w:w="2977" w:type="dxa"/>
            <w:tcBorders>
              <w:top w:val="nil"/>
              <w:left w:val="nil"/>
              <w:bottom w:val="nil"/>
              <w:right w:val="nil"/>
            </w:tcBorders>
            <w:shd w:val="clear" w:color="auto" w:fill="auto"/>
            <w:noWrap/>
            <w:vAlign w:val="center"/>
            <w:hideMark/>
          </w:tcPr>
          <w:p w14:paraId="7C7EFF50"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Timescale relates to Phase 1</w:t>
            </w:r>
          </w:p>
        </w:tc>
        <w:tc>
          <w:tcPr>
            <w:tcW w:w="960" w:type="dxa"/>
            <w:tcBorders>
              <w:top w:val="nil"/>
              <w:left w:val="nil"/>
              <w:bottom w:val="nil"/>
              <w:right w:val="nil"/>
            </w:tcBorders>
            <w:shd w:val="clear" w:color="auto" w:fill="auto"/>
            <w:noWrap/>
            <w:vAlign w:val="center"/>
            <w:hideMark/>
          </w:tcPr>
          <w:p w14:paraId="2F158FEF"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2018</w:t>
            </w:r>
          </w:p>
        </w:tc>
        <w:tc>
          <w:tcPr>
            <w:tcW w:w="960" w:type="dxa"/>
            <w:tcBorders>
              <w:top w:val="nil"/>
              <w:left w:val="nil"/>
              <w:bottom w:val="nil"/>
              <w:right w:val="nil"/>
            </w:tcBorders>
            <w:shd w:val="clear" w:color="auto" w:fill="auto"/>
            <w:noWrap/>
            <w:vAlign w:val="center"/>
            <w:hideMark/>
          </w:tcPr>
          <w:p w14:paraId="693F7EA4" w14:textId="77777777" w:rsidR="004360F5" w:rsidRPr="004360F5" w:rsidRDefault="004360F5" w:rsidP="00485057">
            <w:pPr>
              <w:spacing w:line="240" w:lineRule="auto"/>
              <w:jc w:val="left"/>
              <w:rPr>
                <w:rFonts w:eastAsia="Times New Roman" w:cs="Times New Roman"/>
                <w:color w:val="000000"/>
                <w:sz w:val="20"/>
                <w:szCs w:val="20"/>
              </w:rPr>
            </w:pPr>
            <w:r w:rsidRPr="004360F5">
              <w:rPr>
                <w:rFonts w:eastAsia="Times New Roman" w:cs="Times New Roman"/>
                <w:color w:val="000000"/>
                <w:sz w:val="20"/>
                <w:szCs w:val="20"/>
              </w:rPr>
              <w:t>2019</w:t>
            </w:r>
          </w:p>
        </w:tc>
      </w:tr>
    </w:tbl>
    <w:p w14:paraId="0E249A9F" w14:textId="77777777" w:rsidR="004360F5" w:rsidRPr="004360F5" w:rsidRDefault="004360F5" w:rsidP="004360F5">
      <w:pPr>
        <w:autoSpaceDE w:val="0"/>
        <w:autoSpaceDN w:val="0"/>
        <w:adjustRightInd w:val="0"/>
        <w:spacing w:line="240" w:lineRule="auto"/>
        <w:rPr>
          <w:rFonts w:cs="HelveticaNeue-Light"/>
          <w:sz w:val="20"/>
          <w:szCs w:val="20"/>
        </w:rPr>
      </w:pPr>
    </w:p>
    <w:p w14:paraId="2D4C6BFA" w14:textId="77777777" w:rsidR="004360F5" w:rsidRPr="004360F5" w:rsidRDefault="004360F5" w:rsidP="004360F5">
      <w:pPr>
        <w:autoSpaceDE w:val="0"/>
        <w:autoSpaceDN w:val="0"/>
        <w:adjustRightInd w:val="0"/>
        <w:spacing w:line="300" w:lineRule="atLeast"/>
        <w:rPr>
          <w:rFonts w:cs="HelveticaNeue-Light"/>
          <w:sz w:val="20"/>
          <w:szCs w:val="20"/>
        </w:rPr>
      </w:pPr>
      <w:r w:rsidRPr="004360F5">
        <w:rPr>
          <w:rFonts w:cs="HelveticaNeue-Light"/>
          <w:sz w:val="20"/>
          <w:szCs w:val="20"/>
        </w:rPr>
        <w:t xml:space="preserve">Other national roads projects which require planning, according to the NRA, include the </w:t>
      </w:r>
    </w:p>
    <w:p w14:paraId="67D721B8" w14:textId="77777777" w:rsidR="004360F5" w:rsidRPr="004360F5" w:rsidRDefault="004360F5" w:rsidP="000373A6">
      <w:pPr>
        <w:pStyle w:val="ListParagraph"/>
        <w:numPr>
          <w:ilvl w:val="0"/>
          <w:numId w:val="21"/>
        </w:numPr>
        <w:autoSpaceDE w:val="0"/>
        <w:autoSpaceDN w:val="0"/>
        <w:adjustRightInd w:val="0"/>
        <w:spacing w:after="0" w:line="300" w:lineRule="atLeast"/>
        <w:ind w:left="426"/>
        <w:rPr>
          <w:rFonts w:asciiTheme="minorHAnsi" w:hAnsiTheme="minorHAnsi" w:cs="HelveticaNeue-Light"/>
          <w:sz w:val="20"/>
          <w:szCs w:val="20"/>
        </w:rPr>
      </w:pPr>
      <w:r w:rsidRPr="004360F5">
        <w:rPr>
          <w:rFonts w:asciiTheme="minorHAnsi" w:hAnsiTheme="minorHAnsi" w:cs="HelveticaNeue-Light"/>
          <w:sz w:val="20"/>
          <w:szCs w:val="20"/>
        </w:rPr>
        <w:t xml:space="preserve">N72 Mallow Relief Road, </w:t>
      </w:r>
    </w:p>
    <w:p w14:paraId="4335901F" w14:textId="77777777" w:rsidR="004360F5" w:rsidRPr="004360F5" w:rsidRDefault="004360F5" w:rsidP="000373A6">
      <w:pPr>
        <w:pStyle w:val="ListParagraph"/>
        <w:numPr>
          <w:ilvl w:val="0"/>
          <w:numId w:val="19"/>
        </w:numPr>
        <w:autoSpaceDE w:val="0"/>
        <w:autoSpaceDN w:val="0"/>
        <w:adjustRightInd w:val="0"/>
        <w:spacing w:after="0" w:line="300" w:lineRule="atLeast"/>
        <w:ind w:left="425" w:hanging="357"/>
        <w:rPr>
          <w:rFonts w:asciiTheme="minorHAnsi" w:hAnsiTheme="minorHAnsi" w:cs="HelveticaNeue-Light"/>
          <w:sz w:val="20"/>
          <w:szCs w:val="20"/>
        </w:rPr>
      </w:pPr>
      <w:r w:rsidRPr="004360F5">
        <w:rPr>
          <w:rFonts w:asciiTheme="minorHAnsi" w:hAnsiTheme="minorHAnsi" w:cs="HelveticaNeue-Light"/>
          <w:sz w:val="20"/>
          <w:szCs w:val="20"/>
        </w:rPr>
        <w:t>N2 Slane Bypass</w:t>
      </w:r>
    </w:p>
    <w:p w14:paraId="78E6CDE6" w14:textId="77777777" w:rsidR="004360F5" w:rsidRPr="004360F5" w:rsidRDefault="004360F5" w:rsidP="000373A6">
      <w:pPr>
        <w:pStyle w:val="ListParagraph"/>
        <w:numPr>
          <w:ilvl w:val="0"/>
          <w:numId w:val="19"/>
        </w:numPr>
        <w:autoSpaceDE w:val="0"/>
        <w:autoSpaceDN w:val="0"/>
        <w:adjustRightInd w:val="0"/>
        <w:spacing w:after="0" w:line="300" w:lineRule="atLeast"/>
        <w:ind w:left="425" w:hanging="357"/>
        <w:rPr>
          <w:rFonts w:asciiTheme="minorHAnsi" w:hAnsiTheme="minorHAnsi" w:cs="HelveticaNeue-Light"/>
          <w:sz w:val="20"/>
          <w:szCs w:val="20"/>
        </w:rPr>
      </w:pPr>
      <w:r w:rsidRPr="004360F5">
        <w:rPr>
          <w:rFonts w:asciiTheme="minorHAnsi" w:hAnsiTheme="minorHAnsi" w:cs="HelveticaNeue-Light"/>
          <w:sz w:val="20"/>
          <w:szCs w:val="20"/>
        </w:rPr>
        <w:t>N6 Galway City Transport Project,</w:t>
      </w:r>
    </w:p>
    <w:p w14:paraId="4975EC30" w14:textId="77777777" w:rsidR="004360F5" w:rsidRPr="004360F5" w:rsidRDefault="004360F5" w:rsidP="000373A6">
      <w:pPr>
        <w:pStyle w:val="ListParagraph"/>
        <w:numPr>
          <w:ilvl w:val="0"/>
          <w:numId w:val="19"/>
        </w:numPr>
        <w:autoSpaceDE w:val="0"/>
        <w:autoSpaceDN w:val="0"/>
        <w:adjustRightInd w:val="0"/>
        <w:spacing w:after="0" w:line="300" w:lineRule="atLeast"/>
        <w:ind w:left="425" w:hanging="357"/>
        <w:rPr>
          <w:rFonts w:asciiTheme="minorHAnsi" w:hAnsiTheme="minorHAnsi" w:cs="HelveticaNeue-Light"/>
          <w:sz w:val="20"/>
          <w:szCs w:val="20"/>
        </w:rPr>
      </w:pPr>
      <w:r w:rsidRPr="004360F5">
        <w:rPr>
          <w:rFonts w:asciiTheme="minorHAnsi" w:hAnsiTheme="minorHAnsi" w:cs="HelveticaNeue-Light"/>
          <w:sz w:val="20"/>
          <w:szCs w:val="20"/>
        </w:rPr>
        <w:t>N21//N69 Adare to Foynes, and the</w:t>
      </w:r>
    </w:p>
    <w:p w14:paraId="4BF2BC30" w14:textId="77777777" w:rsidR="004360F5" w:rsidRPr="004360F5" w:rsidRDefault="004360F5" w:rsidP="000373A6">
      <w:pPr>
        <w:pStyle w:val="ListParagraph"/>
        <w:numPr>
          <w:ilvl w:val="0"/>
          <w:numId w:val="19"/>
        </w:numPr>
        <w:autoSpaceDE w:val="0"/>
        <w:autoSpaceDN w:val="0"/>
        <w:adjustRightInd w:val="0"/>
        <w:spacing w:after="0" w:line="300" w:lineRule="atLeast"/>
        <w:ind w:left="425" w:hanging="357"/>
        <w:rPr>
          <w:rFonts w:asciiTheme="minorHAnsi" w:hAnsiTheme="minorHAnsi" w:cs="HelveticaNeue-Light"/>
          <w:sz w:val="20"/>
          <w:szCs w:val="20"/>
        </w:rPr>
      </w:pPr>
      <w:r w:rsidRPr="004360F5">
        <w:rPr>
          <w:rFonts w:asciiTheme="minorHAnsi" w:hAnsiTheme="minorHAnsi" w:cs="HelveticaNeue-Light"/>
          <w:sz w:val="20"/>
          <w:szCs w:val="20"/>
        </w:rPr>
        <w:t xml:space="preserve">N28 Cork to Ringaskiddy.  </w:t>
      </w:r>
    </w:p>
    <w:p w14:paraId="088658BA" w14:textId="77777777" w:rsidR="004360F5" w:rsidRDefault="004360F5" w:rsidP="008A0E3C">
      <w:pPr>
        <w:spacing w:line="276" w:lineRule="auto"/>
      </w:pPr>
    </w:p>
    <w:p w14:paraId="0441E678" w14:textId="0C788B04" w:rsidR="008D7F83" w:rsidRPr="006F51F1" w:rsidRDefault="008D7F83" w:rsidP="008D7F83">
      <w:pPr>
        <w:pStyle w:val="ListParagraph"/>
        <w:spacing w:after="0" w:line="280" w:lineRule="atLeast"/>
        <w:ind w:left="0"/>
        <w:jc w:val="both"/>
        <w:rPr>
          <w:rFonts w:cs="Arial"/>
          <w:sz w:val="20"/>
          <w:szCs w:val="20"/>
        </w:rPr>
      </w:pPr>
      <w:r w:rsidRPr="006F51F1">
        <w:rPr>
          <w:rFonts w:cs="Arial"/>
          <w:sz w:val="20"/>
          <w:szCs w:val="20"/>
        </w:rPr>
        <w:t xml:space="preserve">The following </w:t>
      </w:r>
      <w:r>
        <w:rPr>
          <w:rFonts w:cs="Arial"/>
          <w:sz w:val="20"/>
          <w:szCs w:val="20"/>
        </w:rPr>
        <w:t xml:space="preserve">Public Transport </w:t>
      </w:r>
      <w:r w:rsidRPr="006F51F1">
        <w:rPr>
          <w:rFonts w:cs="Arial"/>
          <w:sz w:val="20"/>
          <w:szCs w:val="20"/>
        </w:rPr>
        <w:t>projects are either under construction or are expected to be advanced over the coming years:</w:t>
      </w:r>
    </w:p>
    <w:p w14:paraId="6F332BD5" w14:textId="77777777" w:rsidR="008D7F83" w:rsidRPr="006F51F1" w:rsidRDefault="008D7F83" w:rsidP="000373A6">
      <w:pPr>
        <w:pStyle w:val="ListParagraph"/>
        <w:numPr>
          <w:ilvl w:val="0"/>
          <w:numId w:val="20"/>
        </w:numPr>
        <w:spacing w:after="0" w:line="280" w:lineRule="atLeast"/>
        <w:ind w:left="426"/>
        <w:jc w:val="both"/>
        <w:rPr>
          <w:rFonts w:cs="Arial"/>
          <w:sz w:val="20"/>
          <w:szCs w:val="20"/>
        </w:rPr>
      </w:pPr>
      <w:r w:rsidRPr="006F51F1">
        <w:rPr>
          <w:rFonts w:cs="Arial"/>
          <w:sz w:val="20"/>
          <w:szCs w:val="20"/>
        </w:rPr>
        <w:t>The Luas Cross City project which is under construction and is expected to be open end 2017.</w:t>
      </w:r>
    </w:p>
    <w:p w14:paraId="19258AF5" w14:textId="77777777" w:rsidR="008D7F83" w:rsidRPr="006F51F1" w:rsidRDefault="008D7F83" w:rsidP="000373A6">
      <w:pPr>
        <w:pStyle w:val="ListParagraph"/>
        <w:numPr>
          <w:ilvl w:val="0"/>
          <w:numId w:val="20"/>
        </w:numPr>
        <w:spacing w:after="0" w:line="280" w:lineRule="atLeast"/>
        <w:ind w:left="426"/>
        <w:jc w:val="both"/>
        <w:rPr>
          <w:rFonts w:cs="Arial"/>
          <w:sz w:val="20"/>
          <w:szCs w:val="20"/>
        </w:rPr>
      </w:pPr>
      <w:r w:rsidRPr="006F51F1">
        <w:rPr>
          <w:rFonts w:cs="Arial"/>
          <w:sz w:val="20"/>
          <w:szCs w:val="20"/>
        </w:rPr>
        <w:t xml:space="preserve">Green Line Capacity Enhancement project, including platform extensions. </w:t>
      </w:r>
    </w:p>
    <w:p w14:paraId="5050A727" w14:textId="77777777" w:rsidR="008D7F83" w:rsidRPr="006F51F1" w:rsidRDefault="008D7F83" w:rsidP="000373A6">
      <w:pPr>
        <w:pStyle w:val="ListParagraph"/>
        <w:numPr>
          <w:ilvl w:val="0"/>
          <w:numId w:val="20"/>
        </w:numPr>
        <w:autoSpaceDE w:val="0"/>
        <w:autoSpaceDN w:val="0"/>
        <w:adjustRightInd w:val="0"/>
        <w:spacing w:after="0" w:line="280" w:lineRule="atLeast"/>
        <w:ind w:left="426"/>
        <w:jc w:val="both"/>
        <w:rPr>
          <w:rFonts w:cs="Arial"/>
          <w:sz w:val="20"/>
          <w:szCs w:val="20"/>
        </w:rPr>
      </w:pPr>
      <w:r w:rsidRPr="006F51F1">
        <w:rPr>
          <w:rFonts w:cs="Arial"/>
          <w:sz w:val="20"/>
          <w:szCs w:val="20"/>
        </w:rPr>
        <w:t>The first phase of a multi-phase DART expansion programme which includes the extension of the Dart line to Balbriggan in North County Dublin by 2022.</w:t>
      </w:r>
    </w:p>
    <w:p w14:paraId="41296E51" w14:textId="77777777" w:rsidR="008D7F83" w:rsidRPr="006F51F1" w:rsidRDefault="008D7F83" w:rsidP="000373A6">
      <w:pPr>
        <w:pStyle w:val="ListParagraph"/>
        <w:numPr>
          <w:ilvl w:val="0"/>
          <w:numId w:val="20"/>
        </w:numPr>
        <w:spacing w:after="0" w:line="280" w:lineRule="atLeast"/>
        <w:ind w:left="426"/>
        <w:jc w:val="both"/>
        <w:rPr>
          <w:rFonts w:cs="Arial"/>
          <w:sz w:val="20"/>
          <w:szCs w:val="20"/>
        </w:rPr>
      </w:pPr>
      <w:r w:rsidRPr="006F51F1">
        <w:rPr>
          <w:rFonts w:cs="Arial"/>
          <w:sz w:val="20"/>
          <w:szCs w:val="20"/>
        </w:rPr>
        <w:t xml:space="preserve">Further upgrading of </w:t>
      </w:r>
      <w:r>
        <w:rPr>
          <w:rFonts w:cs="Arial"/>
          <w:sz w:val="20"/>
          <w:szCs w:val="20"/>
        </w:rPr>
        <w:t xml:space="preserve">the core bus network infrastructure and development of a regional cities programme, </w:t>
      </w:r>
      <w:r w:rsidRPr="006F51F1">
        <w:rPr>
          <w:rFonts w:cs="Arial"/>
          <w:sz w:val="20"/>
          <w:szCs w:val="20"/>
        </w:rPr>
        <w:t>with planning and design work to be progressed for two Bus Rapid Transit routes, Blanchardstown to UCD and Clongriffin to Tallaght routes, although these two projects are unlikely to be delivered until beyond 2021.</w:t>
      </w:r>
    </w:p>
    <w:p w14:paraId="6D79E986" w14:textId="77777777" w:rsidR="008D7F83" w:rsidRPr="006F51F1" w:rsidRDefault="008D7F83" w:rsidP="000373A6">
      <w:pPr>
        <w:pStyle w:val="ListParagraph"/>
        <w:numPr>
          <w:ilvl w:val="0"/>
          <w:numId w:val="20"/>
        </w:numPr>
        <w:spacing w:after="0" w:line="280" w:lineRule="atLeast"/>
        <w:ind w:left="426"/>
        <w:jc w:val="both"/>
        <w:rPr>
          <w:rFonts w:cs="Arial"/>
          <w:sz w:val="20"/>
          <w:szCs w:val="20"/>
        </w:rPr>
      </w:pPr>
      <w:r w:rsidRPr="006F51F1">
        <w:rPr>
          <w:rFonts w:cs="Arial"/>
          <w:sz w:val="20"/>
          <w:szCs w:val="20"/>
        </w:rPr>
        <w:t xml:space="preserve">A range of projects under the Smarter Travel initiative, including cycling infrastructure and greenways. </w:t>
      </w:r>
    </w:p>
    <w:p w14:paraId="79009A2F" w14:textId="77777777" w:rsidR="008D7F83" w:rsidRPr="006F51F1" w:rsidRDefault="008D7F83" w:rsidP="008D7F83">
      <w:pPr>
        <w:autoSpaceDE w:val="0"/>
        <w:autoSpaceDN w:val="0"/>
        <w:adjustRightInd w:val="0"/>
        <w:rPr>
          <w:sz w:val="20"/>
          <w:szCs w:val="20"/>
        </w:rPr>
      </w:pPr>
    </w:p>
    <w:p w14:paraId="2727FB7B" w14:textId="77777777" w:rsidR="008D7F83" w:rsidRPr="006F51F1" w:rsidRDefault="008D7F83" w:rsidP="008D7F83">
      <w:pPr>
        <w:autoSpaceDE w:val="0"/>
        <w:autoSpaceDN w:val="0"/>
        <w:adjustRightInd w:val="0"/>
        <w:rPr>
          <w:rFonts w:cs="Arial"/>
          <w:sz w:val="20"/>
          <w:szCs w:val="20"/>
        </w:rPr>
      </w:pPr>
      <w:r w:rsidRPr="006F51F1">
        <w:rPr>
          <w:rFonts w:cs="Arial"/>
          <w:sz w:val="20"/>
          <w:szCs w:val="20"/>
        </w:rPr>
        <w:t xml:space="preserve">The most substantial project in the Capital Plan is the 16.5km metro rail link in Dublin, Metro North (€2.5bn), to address the transport needs of the Swords/Airport/City-Centre Corridor. But this project, if it proceeds, will not commence until 2021 and is expected not to be in operation until 2027. </w:t>
      </w:r>
    </w:p>
    <w:p w14:paraId="7B7753E3" w14:textId="56C01AC5" w:rsidR="00CA36AC" w:rsidRPr="00AE07BB" w:rsidRDefault="00077040" w:rsidP="00077040">
      <w:pPr>
        <w:pStyle w:val="DKM1"/>
        <w:rPr>
          <w:sz w:val="24"/>
          <w:szCs w:val="24"/>
        </w:rPr>
      </w:pPr>
      <w:bookmarkStart w:id="61" w:name="_Toc478116708"/>
      <w:r w:rsidRPr="00AE07BB">
        <w:rPr>
          <w:sz w:val="24"/>
          <w:szCs w:val="24"/>
        </w:rPr>
        <w:t xml:space="preserve">Appendix </w:t>
      </w:r>
      <w:r w:rsidR="004360F5" w:rsidRPr="00AE07BB">
        <w:rPr>
          <w:sz w:val="24"/>
          <w:szCs w:val="24"/>
        </w:rPr>
        <w:t>4</w:t>
      </w:r>
      <w:r w:rsidRPr="00AE07BB">
        <w:rPr>
          <w:sz w:val="24"/>
          <w:szCs w:val="24"/>
        </w:rPr>
        <w:t xml:space="preserve">: </w:t>
      </w:r>
      <w:r w:rsidR="00EA0453" w:rsidRPr="00AE07BB">
        <w:rPr>
          <w:sz w:val="24"/>
          <w:szCs w:val="24"/>
        </w:rPr>
        <w:t>Fiscal Space Calculation</w:t>
      </w:r>
      <w:bookmarkEnd w:id="61"/>
    </w:p>
    <w:p w14:paraId="0F37F046" w14:textId="1C51BF57" w:rsidR="00EA0453" w:rsidRDefault="00EA0453" w:rsidP="00EA0453">
      <w:pPr>
        <w:pStyle w:val="Default"/>
        <w:spacing w:line="280" w:lineRule="atLeast"/>
        <w:jc w:val="both"/>
        <w:rPr>
          <w:rFonts w:asciiTheme="minorHAnsi" w:hAnsiTheme="minorHAnsi" w:cs="HelveticaNeue-Light"/>
          <w:sz w:val="20"/>
          <w:szCs w:val="20"/>
        </w:rPr>
      </w:pPr>
      <w:r w:rsidRPr="00E43A20">
        <w:rPr>
          <w:rFonts w:asciiTheme="minorHAnsi" w:hAnsiTheme="minorHAnsi" w:cs="HelveticaNeue-Light"/>
          <w:sz w:val="20"/>
          <w:szCs w:val="20"/>
        </w:rPr>
        <w:t xml:space="preserve">An overview of how fiscal space is arrived at for 2018 is shown below. </w:t>
      </w:r>
    </w:p>
    <w:p w14:paraId="072635E4" w14:textId="77777777" w:rsidR="00EA0453" w:rsidRPr="00E43A20" w:rsidRDefault="00EA0453" w:rsidP="00EA0453">
      <w:pPr>
        <w:pStyle w:val="Default"/>
        <w:spacing w:line="280" w:lineRule="atLeast"/>
        <w:jc w:val="both"/>
        <w:rPr>
          <w:rFonts w:asciiTheme="minorHAnsi" w:hAnsiTheme="minorHAnsi" w:cs="HelveticaNeue-Light"/>
          <w:sz w:val="20"/>
          <w:szCs w:val="20"/>
        </w:rPr>
      </w:pPr>
    </w:p>
    <w:p w14:paraId="70095C68" w14:textId="77777777" w:rsidR="00EA0453" w:rsidRPr="00E43A20" w:rsidRDefault="00EA0453" w:rsidP="000373A6">
      <w:pPr>
        <w:pStyle w:val="ListParagraph"/>
        <w:numPr>
          <w:ilvl w:val="0"/>
          <w:numId w:val="10"/>
        </w:numPr>
        <w:spacing w:after="0" w:line="280" w:lineRule="atLeast"/>
        <w:ind w:left="425"/>
        <w:jc w:val="both"/>
        <w:rPr>
          <w:rFonts w:asciiTheme="minorHAnsi" w:hAnsiTheme="minorHAnsi"/>
          <w:sz w:val="20"/>
          <w:szCs w:val="20"/>
          <w:lang w:val="en-GB"/>
        </w:rPr>
      </w:pPr>
      <w:r w:rsidRPr="00E43A20">
        <w:rPr>
          <w:rFonts w:asciiTheme="minorHAnsi" w:hAnsiTheme="minorHAnsi"/>
          <w:sz w:val="20"/>
          <w:szCs w:val="20"/>
          <w:lang w:val="en-GB"/>
        </w:rPr>
        <w:t>Ireland’s potential GDP growth rate, or Reference Rate, for 2018 is 3.4</w:t>
      </w:r>
      <w:r>
        <w:rPr>
          <w:rFonts w:asciiTheme="minorHAnsi" w:hAnsiTheme="minorHAnsi"/>
          <w:sz w:val="20"/>
          <w:szCs w:val="20"/>
          <w:lang w:val="en-GB"/>
        </w:rPr>
        <w:t xml:space="preserve"> per cent</w:t>
      </w:r>
      <w:r w:rsidRPr="00E43A20">
        <w:rPr>
          <w:rFonts w:asciiTheme="minorHAnsi" w:hAnsiTheme="minorHAnsi"/>
          <w:sz w:val="20"/>
          <w:szCs w:val="20"/>
          <w:lang w:val="en-GB"/>
        </w:rPr>
        <w:t xml:space="preserve">. This is the upper limit on allowable expenditure growth as set out under the EU’s Expenditure Benchmark, and equates to a €2.3bn expansion in fiscal space. </w:t>
      </w:r>
    </w:p>
    <w:p w14:paraId="322AFDB7" w14:textId="77777777" w:rsidR="00EA0453" w:rsidRPr="00E43A20" w:rsidRDefault="00EA0453" w:rsidP="000373A6">
      <w:pPr>
        <w:pStyle w:val="ListParagraph"/>
        <w:numPr>
          <w:ilvl w:val="0"/>
          <w:numId w:val="10"/>
        </w:numPr>
        <w:spacing w:after="0" w:line="280" w:lineRule="atLeast"/>
        <w:ind w:left="425"/>
        <w:jc w:val="both"/>
        <w:rPr>
          <w:rFonts w:asciiTheme="minorHAnsi" w:hAnsiTheme="minorHAnsi"/>
          <w:sz w:val="20"/>
          <w:szCs w:val="20"/>
          <w:lang w:val="en-GB"/>
        </w:rPr>
      </w:pPr>
      <w:r w:rsidRPr="00E43A20">
        <w:rPr>
          <w:rFonts w:asciiTheme="minorHAnsi" w:hAnsiTheme="minorHAnsi"/>
          <w:sz w:val="20"/>
          <w:szCs w:val="20"/>
          <w:lang w:val="en-GB"/>
        </w:rPr>
        <w:t>A GDP Price Deflator is also applied to represent inflation in the Irish economy.  This further increases the available fiscal space.  The GDP Price Deflator for 2018 is 1.3</w:t>
      </w:r>
      <w:r>
        <w:rPr>
          <w:rFonts w:asciiTheme="minorHAnsi" w:hAnsiTheme="minorHAnsi"/>
          <w:sz w:val="20"/>
          <w:szCs w:val="20"/>
          <w:lang w:val="en-GB"/>
        </w:rPr>
        <w:t xml:space="preserve"> per cent</w:t>
      </w:r>
      <w:r w:rsidRPr="00E43A20">
        <w:rPr>
          <w:rFonts w:asciiTheme="minorHAnsi" w:hAnsiTheme="minorHAnsi"/>
          <w:sz w:val="20"/>
          <w:szCs w:val="20"/>
          <w:lang w:val="en-GB"/>
        </w:rPr>
        <w:t xml:space="preserve"> of the 2018 Expenditure Aggregate. This equates to €900m. Altogether, there is an allowable expansion in expenditure of 4.7</w:t>
      </w:r>
      <w:r>
        <w:rPr>
          <w:rFonts w:asciiTheme="minorHAnsi" w:hAnsiTheme="minorHAnsi"/>
          <w:sz w:val="20"/>
          <w:szCs w:val="20"/>
          <w:lang w:val="en-GB"/>
        </w:rPr>
        <w:t xml:space="preserve"> per cent</w:t>
      </w:r>
      <w:r w:rsidRPr="00E43A20">
        <w:rPr>
          <w:rFonts w:asciiTheme="minorHAnsi" w:hAnsiTheme="minorHAnsi"/>
          <w:sz w:val="20"/>
          <w:szCs w:val="20"/>
          <w:lang w:val="en-GB"/>
        </w:rPr>
        <w:t>, or approximately €3.2bn, in 2018.</w:t>
      </w:r>
    </w:p>
    <w:p w14:paraId="365419BE" w14:textId="77777777" w:rsidR="00EA0453" w:rsidRPr="00E43A20" w:rsidRDefault="00EA0453" w:rsidP="000373A6">
      <w:pPr>
        <w:pStyle w:val="ListParagraph"/>
        <w:numPr>
          <w:ilvl w:val="0"/>
          <w:numId w:val="10"/>
        </w:numPr>
        <w:spacing w:after="0" w:line="280" w:lineRule="atLeast"/>
        <w:ind w:left="425"/>
        <w:jc w:val="both"/>
        <w:rPr>
          <w:rFonts w:asciiTheme="minorHAnsi" w:hAnsiTheme="minorHAnsi"/>
          <w:sz w:val="20"/>
          <w:szCs w:val="20"/>
          <w:lang w:val="en-GB"/>
        </w:rPr>
      </w:pPr>
      <w:r w:rsidRPr="00E43A20">
        <w:rPr>
          <w:rFonts w:asciiTheme="minorHAnsi" w:hAnsiTheme="minorHAnsi"/>
          <w:sz w:val="20"/>
          <w:szCs w:val="20"/>
          <w:lang w:val="en-GB"/>
        </w:rPr>
        <w:t>However, as Ireland has not yet reached its Medium Term Objective (MTO) of a structural deficit of 0.5</w:t>
      </w:r>
      <w:r>
        <w:rPr>
          <w:rFonts w:asciiTheme="minorHAnsi" w:hAnsiTheme="minorHAnsi"/>
          <w:sz w:val="20"/>
          <w:szCs w:val="20"/>
          <w:lang w:val="en-GB"/>
        </w:rPr>
        <w:t xml:space="preserve"> per cent</w:t>
      </w:r>
      <w:r w:rsidRPr="00E43A20">
        <w:rPr>
          <w:rFonts w:asciiTheme="minorHAnsi" w:hAnsiTheme="minorHAnsi"/>
          <w:sz w:val="20"/>
          <w:szCs w:val="20"/>
          <w:lang w:val="en-GB"/>
        </w:rPr>
        <w:t xml:space="preserve"> of GDP, its fiscal space for 2018 is reduced.  A Convergence Margin of 2.1 percentage points is taken off the cumulative 4.7</w:t>
      </w:r>
      <w:r>
        <w:rPr>
          <w:rFonts w:asciiTheme="minorHAnsi" w:hAnsiTheme="minorHAnsi"/>
          <w:sz w:val="20"/>
          <w:szCs w:val="20"/>
          <w:lang w:val="en-GB"/>
        </w:rPr>
        <w:t xml:space="preserve"> per cent</w:t>
      </w:r>
      <w:r w:rsidRPr="00E43A20">
        <w:rPr>
          <w:rFonts w:asciiTheme="minorHAnsi" w:hAnsiTheme="minorHAnsi"/>
          <w:sz w:val="20"/>
          <w:szCs w:val="20"/>
          <w:lang w:val="en-GB"/>
        </w:rPr>
        <w:t xml:space="preserve"> allowable expansion outlined above. This 2.1 percentage point decrease represents a €1.4bn reduction in the available Fiscal Space for the year.</w:t>
      </w:r>
    </w:p>
    <w:p w14:paraId="536C53B5" w14:textId="77777777" w:rsidR="00EA0453" w:rsidRPr="00E43A20" w:rsidRDefault="00EA0453" w:rsidP="000373A6">
      <w:pPr>
        <w:pStyle w:val="ListParagraph"/>
        <w:numPr>
          <w:ilvl w:val="0"/>
          <w:numId w:val="10"/>
        </w:numPr>
        <w:spacing w:after="0" w:line="280" w:lineRule="atLeast"/>
        <w:ind w:left="425"/>
        <w:jc w:val="both"/>
        <w:rPr>
          <w:rFonts w:asciiTheme="minorHAnsi" w:hAnsiTheme="minorHAnsi"/>
          <w:sz w:val="20"/>
          <w:szCs w:val="20"/>
          <w:lang w:val="en-GB"/>
        </w:rPr>
      </w:pPr>
      <w:r w:rsidRPr="00E43A20">
        <w:rPr>
          <w:rFonts w:asciiTheme="minorHAnsi" w:hAnsiTheme="minorHAnsi"/>
          <w:sz w:val="20"/>
          <w:szCs w:val="20"/>
          <w:lang w:val="en-GB"/>
        </w:rPr>
        <w:t>Discretionary revenue measures, such as non-indexation of tax bands, provide for an increase in available fiscal space of approximately €500m in 2018.</w:t>
      </w:r>
      <w:r w:rsidRPr="00E43A20">
        <w:rPr>
          <w:rStyle w:val="FootnoteReference"/>
          <w:rFonts w:asciiTheme="minorHAnsi" w:hAnsiTheme="minorHAnsi"/>
          <w:sz w:val="20"/>
          <w:szCs w:val="20"/>
          <w:lang w:val="en-GB"/>
        </w:rPr>
        <w:footnoteReference w:id="82"/>
      </w:r>
    </w:p>
    <w:p w14:paraId="1F7C9C1E" w14:textId="108D61E1" w:rsidR="00EA0453" w:rsidRPr="00EA0453" w:rsidRDefault="00EA0453" w:rsidP="000373A6">
      <w:pPr>
        <w:pStyle w:val="ListParagraph"/>
        <w:numPr>
          <w:ilvl w:val="0"/>
          <w:numId w:val="24"/>
        </w:numPr>
        <w:ind w:left="426"/>
        <w:jc w:val="both"/>
        <w:rPr>
          <w:sz w:val="20"/>
          <w:szCs w:val="20"/>
        </w:rPr>
      </w:pPr>
      <w:r w:rsidRPr="00EA0453">
        <w:rPr>
          <w:sz w:val="20"/>
          <w:szCs w:val="20"/>
          <w:lang w:val="en-GB"/>
        </w:rPr>
        <w:t>The available fiscal space for 2018 would be €2.3bn but for pre-committed measures which reduce the Fiscal Space to a further degree. These measures will total €1.1bn in 2018 and include expenditure increases which capture demographic changes, the Lansdowne Road Agreement, and pre-commitments to the Public Capital Programme</w:t>
      </w:r>
      <w:r>
        <w:rPr>
          <w:sz w:val="20"/>
          <w:szCs w:val="20"/>
          <w:lang w:val="en-GB"/>
        </w:rPr>
        <w:t>.</w:t>
      </w:r>
    </w:p>
    <w:p w14:paraId="0A7DF502" w14:textId="203817B6" w:rsidR="00EA0453" w:rsidRDefault="00EA0453" w:rsidP="008A0E3C">
      <w:pPr>
        <w:spacing w:line="276" w:lineRule="auto"/>
        <w:rPr>
          <w:sz w:val="20"/>
          <w:szCs w:val="20"/>
        </w:rPr>
      </w:pPr>
      <w:r w:rsidRPr="00E43A20">
        <w:rPr>
          <w:sz w:val="20"/>
          <w:szCs w:val="20"/>
          <w:lang w:val="en-GB"/>
        </w:rPr>
        <w:t>Once all of these factors have been accounted for, the net fiscal space available for increased Government Expenditure in 2018 is €1.2bn.</w:t>
      </w:r>
    </w:p>
    <w:sectPr w:rsidR="00EA0453" w:rsidSect="005E66CB">
      <w:footerReference w:type="default" r:id="rId20"/>
      <w:pgSz w:w="11906" w:h="16838"/>
      <w:pgMar w:top="2041" w:right="851" w:bottom="1418" w:left="368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6CEB6" w14:textId="77777777" w:rsidR="00862D82" w:rsidRDefault="00862D82" w:rsidP="00287835">
      <w:pPr>
        <w:spacing w:line="240" w:lineRule="auto"/>
      </w:pPr>
      <w:r>
        <w:separator/>
      </w:r>
    </w:p>
  </w:endnote>
  <w:endnote w:type="continuationSeparator" w:id="0">
    <w:p w14:paraId="487F8AA7" w14:textId="77777777" w:rsidR="00862D82" w:rsidRDefault="00862D82" w:rsidP="00287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ss Bold">
    <w:altName w:val="Bliss Bol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45 Light">
    <w:charset w:val="00"/>
    <w:family w:val="auto"/>
    <w:pitch w:val="default"/>
  </w:font>
  <w:font w:name="HelveticaNeue-Light">
    <w:panose1 w:val="00000000000000000000"/>
    <w:charset w:val="00"/>
    <w:family w:val="swiss"/>
    <w:notTrueType/>
    <w:pitch w:val="default"/>
    <w:sig w:usb0="00000003" w:usb1="00000000" w:usb2="00000000" w:usb3="00000000" w:csb0="00000001" w:csb1="00000000"/>
  </w:font>
  <w:font w:name="FSElliotPro">
    <w:panose1 w:val="00000000000000000000"/>
    <w:charset w:val="00"/>
    <w:family w:val="swiss"/>
    <w:notTrueType/>
    <w:pitch w:val="default"/>
    <w:sig w:usb0="00000003" w:usb1="00000000" w:usb2="00000000" w:usb3="00000000" w:csb0="00000001" w:csb1="00000000"/>
  </w:font>
  <w:font w:name="HelveticaNeueLTPro-Lt">
    <w:altName w:val="Arial"/>
    <w:panose1 w:val="00000000000000000000"/>
    <w:charset w:val="EE"/>
    <w:family w:val="swiss"/>
    <w:notTrueType/>
    <w:pitch w:val="default"/>
    <w:sig w:usb0="00000005" w:usb1="00000000" w:usb2="00000000" w:usb3="00000000" w:csb0="00000002" w:csb1="00000000"/>
  </w:font>
  <w:font w:name="HelveticaNeueLTPro-Md">
    <w:panose1 w:val="00000000000000000000"/>
    <w:charset w:val="00"/>
    <w:family w:val="swiss"/>
    <w:notTrueType/>
    <w:pitch w:val="default"/>
    <w:sig w:usb0="00000003" w:usb1="00000000" w:usb2="00000000" w:usb3="00000000" w:csb0="00000001" w:csb1="00000000"/>
  </w:font>
  <w:font w:name="FrutigerNextPro-Light">
    <w:panose1 w:val="00000000000000000000"/>
    <w:charset w:val="00"/>
    <w:family w:val="swiss"/>
    <w:notTrueType/>
    <w:pitch w:val="default"/>
    <w:sig w:usb0="00000003" w:usb1="00000000" w:usb2="00000000" w:usb3="00000000" w:csb0="00000001" w:csb1="00000000"/>
  </w:font>
  <w:font w:name="FrutigerNextPro-Bold">
    <w:panose1 w:val="00000000000000000000"/>
    <w:charset w:val="00"/>
    <w:family w:val="swiss"/>
    <w:notTrueType/>
    <w:pitch w:val="default"/>
    <w:sig w:usb0="00000003" w:usb1="00000000" w:usb2="00000000" w:usb3="00000000" w:csb0="00000001" w:csb1="00000000"/>
  </w:font>
  <w:font w:name="FrutigerNextPro-Medium">
    <w:panose1 w:val="00000000000000000000"/>
    <w:charset w:val="00"/>
    <w:family w:val="roman"/>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ouschkaMedium">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6586"/>
      <w:docPartObj>
        <w:docPartGallery w:val="Page Numbers (Bottom of Page)"/>
        <w:docPartUnique/>
      </w:docPartObj>
    </w:sdtPr>
    <w:sdtEndPr>
      <w:rPr>
        <w:color w:val="005596"/>
      </w:rPr>
    </w:sdtEndPr>
    <w:sdtContent>
      <w:p w14:paraId="2EB53646" w14:textId="77777777" w:rsidR="00862D82" w:rsidRDefault="00862D82">
        <w:pPr>
          <w:pStyle w:val="Footer"/>
        </w:pPr>
        <w:r>
          <w:rPr>
            <w:noProof/>
            <w:color w:val="005596"/>
          </w:rPr>
          <mc:AlternateContent>
            <mc:Choice Requires="wps">
              <w:drawing>
                <wp:anchor distT="0" distB="0" distL="114300" distR="114300" simplePos="0" relativeHeight="251661312" behindDoc="0" locked="0" layoutInCell="1" allowOverlap="1" wp14:anchorId="4BC08A74" wp14:editId="348C59DC">
                  <wp:simplePos x="0" y="0"/>
                  <wp:positionH relativeFrom="column">
                    <wp:posOffset>21590</wp:posOffset>
                  </wp:positionH>
                  <wp:positionV relativeFrom="paragraph">
                    <wp:posOffset>-61595</wp:posOffset>
                  </wp:positionV>
                  <wp:extent cx="4800600" cy="0"/>
                  <wp:effectExtent l="9525" t="9525" r="9525" b="95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12700">
                            <a:solidFill>
                              <a:srgbClr val="0055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5438A3A7" id="_x0000_t32" coordsize="21600,21600" o:spt="32" o:oned="t" path="m,l21600,21600e" filled="f">
                  <v:path arrowok="t" fillok="f" o:connecttype="none"/>
                  <o:lock v:ext="edit" shapetype="t"/>
                </v:shapetype>
                <v:shape id="AutoShape 5" o:spid="_x0000_s1026" type="#_x0000_t32" style="position:absolute;margin-left:1.7pt;margin-top:-4.85pt;width:37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" strokecolor="#005596" strokeweight="1pt"/>
              </w:pict>
            </mc:Fallback>
          </mc:AlternateContent>
        </w:r>
      </w:p>
    </w:sdtContent>
  </w:sdt>
  <w:p w14:paraId="78EFE4A2" w14:textId="77777777" w:rsidR="00862D82" w:rsidRDefault="00862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46910"/>
      <w:docPartObj>
        <w:docPartGallery w:val="Page Numbers (Bottom of Page)"/>
        <w:docPartUnique/>
      </w:docPartObj>
    </w:sdtPr>
    <w:sdtEndPr/>
    <w:sdtContent>
      <w:p w14:paraId="28BB3D53" w14:textId="3C7324E1" w:rsidR="00862D82" w:rsidRDefault="00E7663E">
        <w:pPr>
          <w:pStyle w:val="Footer"/>
          <w:jc w:val="right"/>
        </w:pPr>
        <w:r>
          <w:rPr>
            <w:noProof/>
            <w:color w:val="005596"/>
          </w:rPr>
          <mc:AlternateContent>
            <mc:Choice Requires="wps">
              <w:drawing>
                <wp:anchor distT="0" distB="0" distL="114300" distR="114300" simplePos="0" relativeHeight="251680768" behindDoc="0" locked="0" layoutInCell="1" allowOverlap="1" wp14:anchorId="285AAB80" wp14:editId="092D77B5">
                  <wp:simplePos x="0" y="0"/>
                  <wp:positionH relativeFrom="column">
                    <wp:posOffset>20623</wp:posOffset>
                  </wp:positionH>
                  <wp:positionV relativeFrom="paragraph">
                    <wp:posOffset>-41303</wp:posOffset>
                  </wp:positionV>
                  <wp:extent cx="5224007" cy="0"/>
                  <wp:effectExtent l="0" t="0" r="34290" b="19050"/>
                  <wp:wrapNone/>
                  <wp:docPr id="24" name="Straight Connector 24"/>
                  <wp:cNvGraphicFramePr/>
                  <a:graphic xmlns:a="http://schemas.openxmlformats.org/drawingml/2006/main">
                    <a:graphicData uri="http://schemas.microsoft.com/office/word/2010/wordprocessingShape">
                      <wps:wsp>
                        <wps:cNvCnPr/>
                        <wps:spPr>
                          <a:xfrm>
                            <a:off x="0" y="0"/>
                            <a:ext cx="5224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EED7A"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pt,-3.25pt" to="412.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AJ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" strokecolor="#4579b8 [3044]"/>
              </w:pict>
            </mc:Fallback>
          </mc:AlternateContent>
        </w:r>
        <w:r w:rsidR="00862D82" w:rsidRPr="006224B8">
          <w:rPr>
            <w:color w:val="005596"/>
          </w:rPr>
          <w:fldChar w:fldCharType="begin"/>
        </w:r>
        <w:r w:rsidR="00862D82" w:rsidRPr="006224B8">
          <w:rPr>
            <w:color w:val="005596"/>
          </w:rPr>
          <w:instrText xml:space="preserve"> PAGE   \* MERGEFORMAT </w:instrText>
        </w:r>
        <w:r w:rsidR="00862D82" w:rsidRPr="006224B8">
          <w:rPr>
            <w:color w:val="005596"/>
          </w:rPr>
          <w:fldChar w:fldCharType="separate"/>
        </w:r>
        <w:r w:rsidR="00DB2739">
          <w:rPr>
            <w:noProof/>
            <w:color w:val="005596"/>
          </w:rPr>
          <w:t>iv</w:t>
        </w:r>
        <w:r w:rsidR="00862D82" w:rsidRPr="006224B8">
          <w:rPr>
            <w:color w:val="005596"/>
          </w:rPr>
          <w:fldChar w:fldCharType="end"/>
        </w:r>
      </w:p>
    </w:sdtContent>
  </w:sdt>
  <w:p w14:paraId="322C60EF" w14:textId="77777777" w:rsidR="00862D82" w:rsidRDefault="00862D82" w:rsidP="00B01666">
    <w:pPr>
      <w:pStyle w:val="Footer"/>
      <w:tabs>
        <w:tab w:val="clear" w:pos="4513"/>
        <w:tab w:val="clear" w:pos="9026"/>
        <w:tab w:val="left" w:pos="498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114417"/>
      <w:docPartObj>
        <w:docPartGallery w:val="Page Numbers (Bottom of Page)"/>
        <w:docPartUnique/>
      </w:docPartObj>
    </w:sdtPr>
    <w:sdtEndPr>
      <w:rPr>
        <w:color w:val="005596"/>
      </w:rPr>
    </w:sdtEndPr>
    <w:sdtContent>
      <w:p w14:paraId="62F8CB85" w14:textId="4EF8BD5C" w:rsidR="00862D82" w:rsidRDefault="00862D82" w:rsidP="006224B8">
        <w:pPr>
          <w:pStyle w:val="Footer"/>
          <w:jc w:val="right"/>
        </w:pPr>
        <w:r>
          <w:rPr>
            <w:noProof/>
            <w:color w:val="005596"/>
          </w:rPr>
          <mc:AlternateContent>
            <mc:Choice Requires="wps">
              <w:drawing>
                <wp:anchor distT="0" distB="0" distL="114300" distR="114300" simplePos="0" relativeHeight="251678720" behindDoc="0" locked="0" layoutInCell="1" allowOverlap="1" wp14:anchorId="51AFC13F" wp14:editId="5E957BBB">
                  <wp:simplePos x="0" y="0"/>
                  <wp:positionH relativeFrom="column">
                    <wp:posOffset>-35560</wp:posOffset>
                  </wp:positionH>
                  <wp:positionV relativeFrom="paragraph">
                    <wp:posOffset>-61595</wp:posOffset>
                  </wp:positionV>
                  <wp:extent cx="4805045" cy="0"/>
                  <wp:effectExtent l="9525" t="9525" r="1460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5045" cy="0"/>
                          </a:xfrm>
                          <a:prstGeom prst="straightConnector1">
                            <a:avLst/>
                          </a:prstGeom>
                          <a:noFill/>
                          <a:ln w="12700">
                            <a:solidFill>
                              <a:srgbClr val="0055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45CABBAE" id="_x0000_t32" coordsize="21600,21600" o:spt="32" o:oned="t" path="m,l21600,21600e" filled="f">
                  <v:path arrowok="t" fillok="f" o:connecttype="none"/>
                  <o:lock v:ext="edit" shapetype="t"/>
                </v:shapetype>
                <v:shape id="AutoShape 14" o:spid="_x0000_s1026" type="#_x0000_t32" style="position:absolute;margin-left:-2.8pt;margin-top:-4.85pt;width:378.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apIgIAAD0EAAAOAAAAZHJzL2Uyb0RvYy54bWysU02P2yAQvVfqf0DcE9upk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" strokecolor="#005596" strokeweight="1pt"/>
              </w:pict>
            </mc:Fallback>
          </mc:AlternateContent>
        </w:r>
        <w:r w:rsidRPr="00287835">
          <w:rPr>
            <w:color w:val="005596"/>
          </w:rPr>
          <w:fldChar w:fldCharType="begin"/>
        </w:r>
        <w:r w:rsidRPr="00287835">
          <w:rPr>
            <w:color w:val="005596"/>
          </w:rPr>
          <w:instrText xml:space="preserve"> PAGE   \* MERGEFORMAT </w:instrText>
        </w:r>
        <w:r w:rsidRPr="00287835">
          <w:rPr>
            <w:color w:val="005596"/>
          </w:rPr>
          <w:fldChar w:fldCharType="separate"/>
        </w:r>
        <w:r w:rsidR="00DB2739">
          <w:rPr>
            <w:noProof/>
            <w:color w:val="005596"/>
          </w:rPr>
          <w:t>35</w:t>
        </w:r>
        <w:r w:rsidRPr="00287835">
          <w:rPr>
            <w:color w:val="005596"/>
          </w:rPr>
          <w:fldChar w:fldCharType="end"/>
        </w:r>
      </w:p>
    </w:sdtContent>
  </w:sdt>
  <w:p w14:paraId="7DA485CE" w14:textId="77777777" w:rsidR="00862D82" w:rsidRDefault="00862D82" w:rsidP="00B01666">
    <w:pPr>
      <w:pStyle w:val="Footer"/>
      <w:tabs>
        <w:tab w:val="clear" w:pos="4513"/>
        <w:tab w:val="clear" w:pos="9026"/>
        <w:tab w:val="left" w:pos="4986"/>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D4E5" w14:textId="77777777" w:rsidR="00862D82" w:rsidRDefault="00862D82">
    <w:pPr>
      <w:pStyle w:val="Footer"/>
    </w:pPr>
  </w:p>
  <w:p w14:paraId="52F722E4" w14:textId="77777777" w:rsidR="00862D82" w:rsidRDefault="00862D82" w:rsidP="00B01666">
    <w:pPr>
      <w:pStyle w:val="Footer"/>
      <w:tabs>
        <w:tab w:val="clear" w:pos="4513"/>
        <w:tab w:val="clear" w:pos="9026"/>
        <w:tab w:val="left" w:pos="498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2DE97" w14:textId="77777777" w:rsidR="00862D82" w:rsidRPr="00D97110" w:rsidRDefault="00862D82" w:rsidP="00287835">
      <w:pPr>
        <w:spacing w:line="240" w:lineRule="auto"/>
        <w:rPr>
          <w:color w:val="A6A6A6" w:themeColor="background1" w:themeShade="A6"/>
        </w:rPr>
      </w:pPr>
      <w:r w:rsidRPr="00D97110">
        <w:rPr>
          <w:color w:val="A6A6A6" w:themeColor="background1" w:themeShade="A6"/>
        </w:rPr>
        <w:separator/>
      </w:r>
    </w:p>
  </w:footnote>
  <w:footnote w:type="continuationSeparator" w:id="0">
    <w:p w14:paraId="71B13306" w14:textId="77777777" w:rsidR="00862D82" w:rsidRDefault="00862D82" w:rsidP="00287835">
      <w:pPr>
        <w:spacing w:line="240" w:lineRule="auto"/>
      </w:pPr>
      <w:r>
        <w:continuationSeparator/>
      </w:r>
    </w:p>
  </w:footnote>
  <w:footnote w:id="1">
    <w:p w14:paraId="2DABC964" w14:textId="77777777" w:rsidR="00862D82" w:rsidRPr="00916E0D" w:rsidRDefault="00862D82" w:rsidP="00916E0D">
      <w:pPr>
        <w:pStyle w:val="FootnoteText"/>
        <w:jc w:val="left"/>
        <w:rPr>
          <w:sz w:val="18"/>
          <w:szCs w:val="18"/>
        </w:rPr>
      </w:pPr>
      <w:r w:rsidRPr="00916E0D">
        <w:rPr>
          <w:rStyle w:val="FootnoteReference"/>
          <w:sz w:val="18"/>
          <w:szCs w:val="18"/>
        </w:rPr>
        <w:footnoteRef/>
      </w:r>
      <w:r w:rsidRPr="00916E0D">
        <w:rPr>
          <w:sz w:val="18"/>
          <w:szCs w:val="18"/>
        </w:rPr>
        <w:t xml:space="preserve"> Competitiveness Challenge 2016, National Competitiveness Council., available at </w:t>
      </w:r>
      <w:hyperlink r:id="rId1" w:history="1">
        <w:r w:rsidRPr="00916E0D">
          <w:rPr>
            <w:rStyle w:val="Hyperlink"/>
            <w:sz w:val="18"/>
            <w:szCs w:val="18"/>
          </w:rPr>
          <w:t>http://www.competitiveness.ie/Publications/2016/Competitiveness-Challenge-2016-NCC1.pdf</w:t>
        </w:r>
      </w:hyperlink>
    </w:p>
  </w:footnote>
  <w:footnote w:id="2">
    <w:p w14:paraId="3259C5AA" w14:textId="77777777" w:rsidR="00862D82" w:rsidRPr="00916E0D" w:rsidRDefault="00862D82" w:rsidP="00E27E58">
      <w:pPr>
        <w:pStyle w:val="FootnoteText"/>
        <w:rPr>
          <w:sz w:val="18"/>
          <w:szCs w:val="18"/>
        </w:rPr>
      </w:pPr>
      <w:r w:rsidRPr="00916E0D">
        <w:rPr>
          <w:rStyle w:val="FootnoteReference"/>
          <w:sz w:val="18"/>
          <w:szCs w:val="18"/>
        </w:rPr>
        <w:footnoteRef/>
      </w:r>
      <w:r w:rsidRPr="00916E0D">
        <w:rPr>
          <w:sz w:val="18"/>
          <w:szCs w:val="18"/>
        </w:rPr>
        <w:t xml:space="preserve"> European Movement Conference: Investing in Ireland’s Infrastructure, Mr. Andrew McDowell, Vice President EIB, 30</w:t>
      </w:r>
      <w:r w:rsidRPr="00916E0D">
        <w:rPr>
          <w:sz w:val="18"/>
          <w:szCs w:val="18"/>
          <w:vertAlign w:val="superscript"/>
        </w:rPr>
        <w:t xml:space="preserve">th </w:t>
      </w:r>
      <w:r w:rsidRPr="00916E0D">
        <w:rPr>
          <w:sz w:val="18"/>
          <w:szCs w:val="18"/>
        </w:rPr>
        <w:t>September 2016.</w:t>
      </w:r>
    </w:p>
  </w:footnote>
  <w:footnote w:id="3">
    <w:p w14:paraId="433DA6A1" w14:textId="77777777" w:rsidR="00862D82" w:rsidRPr="00916E0D" w:rsidRDefault="00862D82" w:rsidP="00E27E58">
      <w:pPr>
        <w:pStyle w:val="FootnoteText"/>
        <w:rPr>
          <w:sz w:val="18"/>
          <w:szCs w:val="18"/>
        </w:rPr>
      </w:pPr>
      <w:r w:rsidRPr="00916E0D">
        <w:rPr>
          <w:rStyle w:val="FootnoteReference"/>
          <w:sz w:val="18"/>
          <w:szCs w:val="18"/>
        </w:rPr>
        <w:footnoteRef/>
      </w:r>
      <w:r w:rsidRPr="00916E0D">
        <w:rPr>
          <w:sz w:val="18"/>
          <w:szCs w:val="18"/>
        </w:rPr>
        <w:t xml:space="preserve"> This €5.16 billion compares with the additional €6.66 billion over the period 2017-2021 when the Budget 2017 figures are compared with the Capital Plan.</w:t>
      </w:r>
    </w:p>
  </w:footnote>
  <w:footnote w:id="4">
    <w:p w14:paraId="2F2E39A5" w14:textId="77777777" w:rsidR="00862D82" w:rsidRPr="00916E0D" w:rsidRDefault="00862D82" w:rsidP="00E27E58">
      <w:pPr>
        <w:pStyle w:val="FootnoteText"/>
        <w:rPr>
          <w:sz w:val="18"/>
          <w:szCs w:val="18"/>
        </w:rPr>
      </w:pPr>
      <w:r w:rsidRPr="00916E0D">
        <w:rPr>
          <w:rStyle w:val="FootnoteReference"/>
          <w:sz w:val="18"/>
          <w:szCs w:val="18"/>
        </w:rPr>
        <w:footnoteRef/>
      </w:r>
      <w:r w:rsidRPr="00916E0D">
        <w:rPr>
          <w:sz w:val="18"/>
          <w:szCs w:val="18"/>
        </w:rPr>
        <w:t xml:space="preserve"> Oireachtas Committee on Budgetary Oversight, </w:t>
      </w:r>
      <w:r w:rsidRPr="00916E0D">
        <w:rPr>
          <w:i/>
          <w:sz w:val="18"/>
          <w:szCs w:val="18"/>
        </w:rPr>
        <w:t>Transcript</w:t>
      </w:r>
      <w:r w:rsidRPr="00916E0D">
        <w:rPr>
          <w:sz w:val="18"/>
          <w:szCs w:val="18"/>
        </w:rPr>
        <w:t>, 7 September 2016.</w:t>
      </w:r>
    </w:p>
  </w:footnote>
  <w:footnote w:id="5">
    <w:p w14:paraId="5FA609A0" w14:textId="77777777" w:rsidR="00862D82" w:rsidRPr="00BA492F" w:rsidRDefault="00862D82" w:rsidP="00773B6C">
      <w:pPr>
        <w:pStyle w:val="FootnoteText"/>
        <w:rPr>
          <w:sz w:val="18"/>
          <w:szCs w:val="18"/>
        </w:rPr>
      </w:pPr>
      <w:r w:rsidRPr="00BA492F">
        <w:rPr>
          <w:rStyle w:val="FootnoteReference"/>
          <w:sz w:val="18"/>
          <w:szCs w:val="18"/>
        </w:rPr>
        <w:footnoteRef/>
      </w:r>
      <w:r w:rsidRPr="00BA492F">
        <w:rPr>
          <w:sz w:val="18"/>
          <w:szCs w:val="18"/>
        </w:rPr>
        <w:t xml:space="preserve"> Estimates prepared by DKM Economic Consultants, based on the CSO’s Input-Output Tables and Enterprise Statistics on Construction.</w:t>
      </w:r>
    </w:p>
  </w:footnote>
  <w:footnote w:id="6">
    <w:p w14:paraId="3277716B" w14:textId="77777777" w:rsidR="00862D82" w:rsidRPr="00BA492F" w:rsidRDefault="00862D82" w:rsidP="00773B6C">
      <w:pPr>
        <w:pStyle w:val="FootnoteText"/>
        <w:rPr>
          <w:sz w:val="18"/>
          <w:szCs w:val="18"/>
        </w:rPr>
      </w:pPr>
      <w:r w:rsidRPr="00BA492F">
        <w:rPr>
          <w:rStyle w:val="FootnoteReference"/>
          <w:sz w:val="18"/>
          <w:szCs w:val="18"/>
        </w:rPr>
        <w:footnoteRef/>
      </w:r>
      <w:r w:rsidRPr="00BA492F">
        <w:rPr>
          <w:sz w:val="18"/>
          <w:szCs w:val="18"/>
        </w:rPr>
        <w:t xml:space="preserve"> This figure does not include civil engineering projects.</w:t>
      </w:r>
    </w:p>
  </w:footnote>
  <w:footnote w:id="7">
    <w:p w14:paraId="2B46E2C0" w14:textId="77777777" w:rsidR="00862D82" w:rsidRPr="00527B9D" w:rsidRDefault="00862D82" w:rsidP="00773B6C">
      <w:pPr>
        <w:pStyle w:val="FootnoteText"/>
      </w:pPr>
      <w:r w:rsidRPr="00BA492F">
        <w:rPr>
          <w:rStyle w:val="FootnoteReference"/>
          <w:sz w:val="18"/>
          <w:szCs w:val="18"/>
        </w:rPr>
        <w:footnoteRef/>
      </w:r>
      <w:r w:rsidRPr="00BA492F">
        <w:rPr>
          <w:sz w:val="18"/>
          <w:szCs w:val="18"/>
        </w:rPr>
        <w:t xml:space="preserve"> Arcadis Talent Scale – the Real Extent of Britain’s construction labour crisis, 2017 available at </w:t>
      </w:r>
      <w:hyperlink r:id="rId2" w:history="1">
        <w:r w:rsidRPr="00BA492F">
          <w:rPr>
            <w:rStyle w:val="Hyperlink"/>
            <w:sz w:val="18"/>
            <w:szCs w:val="18"/>
          </w:rPr>
          <w:t>https://www.arcadis.com/en/united-kingdom/our-perspectives/2017/february/britain-must-recruit-one-worker-every-77-seconds-to-meet-construction-needs/</w:t>
        </w:r>
      </w:hyperlink>
    </w:p>
  </w:footnote>
  <w:footnote w:id="8">
    <w:p w14:paraId="4977ADC2" w14:textId="531A63C3" w:rsidR="00F809C8" w:rsidRPr="00F809C8" w:rsidRDefault="00F809C8">
      <w:pPr>
        <w:pStyle w:val="FootnoteText"/>
        <w:rPr>
          <w:sz w:val="16"/>
          <w:szCs w:val="16"/>
        </w:rPr>
      </w:pPr>
      <w:r w:rsidRPr="00F809C8">
        <w:rPr>
          <w:rStyle w:val="FootnoteReference"/>
          <w:sz w:val="16"/>
          <w:szCs w:val="16"/>
        </w:rPr>
        <w:footnoteRef/>
      </w:r>
      <w:r w:rsidRPr="00F809C8">
        <w:rPr>
          <w:sz w:val="16"/>
          <w:szCs w:val="16"/>
        </w:rPr>
        <w:t xml:space="preserve"> In the compilation of this submission, the CIF engaged the services of DKM Economic Consultants to assist with research and analysis. </w:t>
      </w:r>
    </w:p>
  </w:footnote>
  <w:footnote w:id="9">
    <w:p w14:paraId="3BBEAFC5" w14:textId="40A3677F" w:rsidR="00862D82" w:rsidRPr="003326B4" w:rsidRDefault="00862D82" w:rsidP="00CC39A6">
      <w:pPr>
        <w:pStyle w:val="FootnoteText"/>
        <w:jc w:val="left"/>
        <w:rPr>
          <w:sz w:val="16"/>
          <w:szCs w:val="16"/>
        </w:rPr>
      </w:pPr>
      <w:r w:rsidRPr="00CE04CD">
        <w:rPr>
          <w:rStyle w:val="FootnoteReference"/>
          <w:sz w:val="16"/>
          <w:szCs w:val="16"/>
        </w:rPr>
        <w:footnoteRef/>
      </w:r>
      <w:r w:rsidRPr="00CE04CD">
        <w:rPr>
          <w:sz w:val="16"/>
          <w:szCs w:val="16"/>
        </w:rPr>
        <w:t xml:space="preserve"> Competitiveness Challenge 2016, National Competitiveness Council., available at </w:t>
      </w:r>
      <w:hyperlink r:id="rId3" w:history="1">
        <w:r w:rsidRPr="003326B4">
          <w:rPr>
            <w:rStyle w:val="Hyperlink"/>
            <w:sz w:val="16"/>
            <w:szCs w:val="16"/>
          </w:rPr>
          <w:t>http://www.competitiveness.ie/Publications/2016/Competitiveness-Challenge-2016-NCC1.pdf</w:t>
        </w:r>
      </w:hyperlink>
    </w:p>
  </w:footnote>
  <w:footnote w:id="10">
    <w:p w14:paraId="4AD47861" w14:textId="47C9D426" w:rsidR="00862D82" w:rsidRPr="003326B4" w:rsidRDefault="00862D82">
      <w:pPr>
        <w:pStyle w:val="FootnoteText"/>
        <w:rPr>
          <w:sz w:val="16"/>
          <w:szCs w:val="16"/>
        </w:rPr>
      </w:pPr>
      <w:r w:rsidRPr="003326B4">
        <w:rPr>
          <w:rStyle w:val="FootnoteReference"/>
          <w:sz w:val="16"/>
          <w:szCs w:val="16"/>
        </w:rPr>
        <w:footnoteRef/>
      </w:r>
      <w:r w:rsidRPr="003326B4">
        <w:rPr>
          <w:sz w:val="16"/>
          <w:szCs w:val="16"/>
        </w:rPr>
        <w:t xml:space="preserve"> European Movement Conference: Investing in Ireland’s Infrastructure, Mr. Andrew McDowell, Vice President EIB, 30</w:t>
      </w:r>
      <w:r w:rsidRPr="003326B4">
        <w:rPr>
          <w:sz w:val="16"/>
          <w:szCs w:val="16"/>
          <w:vertAlign w:val="superscript"/>
        </w:rPr>
        <w:t xml:space="preserve">th </w:t>
      </w:r>
      <w:r w:rsidRPr="003326B4">
        <w:rPr>
          <w:sz w:val="16"/>
          <w:szCs w:val="16"/>
        </w:rPr>
        <w:t>September 2016.</w:t>
      </w:r>
    </w:p>
  </w:footnote>
  <w:footnote w:id="11">
    <w:p w14:paraId="7A5CCEAB" w14:textId="77777777" w:rsidR="00862D82" w:rsidRPr="003326B4" w:rsidRDefault="00862D82" w:rsidP="007978D2">
      <w:pPr>
        <w:pStyle w:val="FootnoteText"/>
        <w:rPr>
          <w:sz w:val="16"/>
          <w:szCs w:val="16"/>
        </w:rPr>
      </w:pPr>
      <w:r w:rsidRPr="003326B4">
        <w:rPr>
          <w:rStyle w:val="FootnoteReference"/>
          <w:sz w:val="16"/>
          <w:szCs w:val="16"/>
        </w:rPr>
        <w:footnoteRef/>
      </w:r>
      <w:r w:rsidRPr="003326B4">
        <w:rPr>
          <w:sz w:val="16"/>
          <w:szCs w:val="16"/>
        </w:rPr>
        <w:t xml:space="preserve"> Oireachtas Committee on Budgetary Oversight, </w:t>
      </w:r>
      <w:r w:rsidRPr="003326B4">
        <w:rPr>
          <w:i/>
          <w:sz w:val="16"/>
          <w:szCs w:val="16"/>
        </w:rPr>
        <w:t>Transcript</w:t>
      </w:r>
      <w:r w:rsidRPr="003326B4">
        <w:rPr>
          <w:sz w:val="16"/>
          <w:szCs w:val="16"/>
        </w:rPr>
        <w:t>, 7 September 2016.</w:t>
      </w:r>
    </w:p>
  </w:footnote>
  <w:footnote w:id="12">
    <w:p w14:paraId="4349AC1D" w14:textId="19644B48" w:rsidR="00862D82" w:rsidRPr="003326B4" w:rsidRDefault="00862D82">
      <w:pPr>
        <w:pStyle w:val="FootnoteText"/>
        <w:rPr>
          <w:sz w:val="16"/>
          <w:szCs w:val="16"/>
        </w:rPr>
      </w:pPr>
      <w:r w:rsidRPr="003326B4">
        <w:rPr>
          <w:rStyle w:val="FootnoteReference"/>
          <w:sz w:val="16"/>
          <w:szCs w:val="16"/>
        </w:rPr>
        <w:footnoteRef/>
      </w:r>
      <w:r w:rsidRPr="003326B4">
        <w:rPr>
          <w:sz w:val="16"/>
          <w:szCs w:val="16"/>
        </w:rPr>
        <w:t xml:space="preserve"> Irish Fiscal Advisory Council, </w:t>
      </w:r>
      <w:r w:rsidRPr="003326B4">
        <w:rPr>
          <w:i/>
          <w:sz w:val="16"/>
          <w:szCs w:val="16"/>
        </w:rPr>
        <w:t>Public Capital: Investment, Stocks and Depreciation</w:t>
      </w:r>
      <w:r w:rsidRPr="003326B4">
        <w:rPr>
          <w:sz w:val="16"/>
          <w:szCs w:val="16"/>
        </w:rPr>
        <w:t>. June 2016.</w:t>
      </w:r>
    </w:p>
  </w:footnote>
  <w:footnote w:id="13">
    <w:p w14:paraId="2727FA90" w14:textId="77777777" w:rsidR="00862D82" w:rsidRPr="00CE04CD" w:rsidRDefault="00862D82" w:rsidP="00CB14A1">
      <w:pPr>
        <w:pStyle w:val="FootnoteText"/>
        <w:rPr>
          <w:sz w:val="16"/>
          <w:szCs w:val="16"/>
        </w:rPr>
      </w:pPr>
      <w:r w:rsidRPr="00CE04CD">
        <w:rPr>
          <w:rStyle w:val="FootnoteReference"/>
          <w:sz w:val="16"/>
          <w:szCs w:val="16"/>
        </w:rPr>
        <w:footnoteRef/>
      </w:r>
      <w:r w:rsidRPr="00CE04CD">
        <w:rPr>
          <w:sz w:val="16"/>
          <w:szCs w:val="16"/>
        </w:rPr>
        <w:t xml:space="preserve"> The output figures quoted for construction </w:t>
      </w:r>
      <w:r w:rsidRPr="00CE04CD">
        <w:rPr>
          <w:sz w:val="16"/>
          <w:szCs w:val="16"/>
          <w:u w:val="single"/>
        </w:rPr>
        <w:t>exclude</w:t>
      </w:r>
      <w:r w:rsidRPr="00CE04CD">
        <w:rPr>
          <w:sz w:val="16"/>
          <w:szCs w:val="16"/>
        </w:rPr>
        <w:t xml:space="preserve"> the costs associated with the transfer of land and building, which amounted to €796 million in 2015. This figures is included under building and construction output for National Account purposes, generating a total value for construction output of €14.24 billion in 2015.</w:t>
      </w:r>
    </w:p>
  </w:footnote>
  <w:footnote w:id="14">
    <w:p w14:paraId="2C15F6B7" w14:textId="3851017B" w:rsidR="00862D82" w:rsidRPr="003326B4" w:rsidRDefault="00862D82" w:rsidP="00CE04CD">
      <w:pPr>
        <w:pStyle w:val="DKMBody"/>
        <w:spacing w:line="240" w:lineRule="auto"/>
        <w:rPr>
          <w:sz w:val="16"/>
          <w:szCs w:val="16"/>
        </w:rPr>
      </w:pPr>
      <w:r w:rsidRPr="003326B4">
        <w:rPr>
          <w:rStyle w:val="FootnoteReference"/>
          <w:sz w:val="16"/>
          <w:szCs w:val="16"/>
        </w:rPr>
        <w:footnoteRef/>
      </w:r>
      <w:r w:rsidRPr="003326B4">
        <w:rPr>
          <w:sz w:val="16"/>
          <w:szCs w:val="16"/>
        </w:rPr>
        <w:t xml:space="preserve"> Demand for Skills in Construction to 2020, DKM Economic Consultants, September 2016. Available at </w:t>
      </w:r>
      <w:hyperlink r:id="rId4" w:history="1">
        <w:r w:rsidRPr="003326B4">
          <w:rPr>
            <w:rStyle w:val="Hyperlink"/>
            <w:bCs/>
            <w:sz w:val="16"/>
            <w:szCs w:val="16"/>
          </w:rPr>
          <w:t>http://dkm.ie/en/publications/reports</w:t>
        </w:r>
      </w:hyperlink>
    </w:p>
  </w:footnote>
  <w:footnote w:id="15">
    <w:p w14:paraId="33CDE133" w14:textId="77777777" w:rsidR="00862D82" w:rsidRPr="00CE04CD" w:rsidRDefault="00862D82" w:rsidP="00BC34A6">
      <w:pPr>
        <w:pStyle w:val="FootnoteText"/>
        <w:rPr>
          <w:sz w:val="16"/>
          <w:szCs w:val="16"/>
        </w:rPr>
      </w:pPr>
      <w:r w:rsidRPr="00CE04CD">
        <w:rPr>
          <w:rStyle w:val="FootnoteReference"/>
          <w:sz w:val="16"/>
          <w:szCs w:val="16"/>
        </w:rPr>
        <w:footnoteRef/>
      </w:r>
      <w:r w:rsidRPr="00CE04CD">
        <w:rPr>
          <w:sz w:val="16"/>
          <w:szCs w:val="16"/>
        </w:rPr>
        <w:t xml:space="preserve"> National Skills Bulletin, Expert Group on Future Skills Needs, Solas, July 2015, p45.</w:t>
      </w:r>
    </w:p>
  </w:footnote>
  <w:footnote w:id="16">
    <w:p w14:paraId="42CD6F4B" w14:textId="55CD7338" w:rsidR="00862D82" w:rsidRPr="00CD3AB6" w:rsidRDefault="00862D82" w:rsidP="00BC34A6">
      <w:pPr>
        <w:pStyle w:val="FootnoteText"/>
        <w:rPr>
          <w:sz w:val="16"/>
          <w:szCs w:val="16"/>
        </w:rPr>
      </w:pPr>
      <w:r w:rsidRPr="00CD3AB6">
        <w:rPr>
          <w:rStyle w:val="FootnoteReference"/>
          <w:sz w:val="16"/>
          <w:szCs w:val="16"/>
        </w:rPr>
        <w:footnoteRef/>
      </w:r>
      <w:r w:rsidRPr="00CD3AB6">
        <w:rPr>
          <w:sz w:val="16"/>
          <w:szCs w:val="16"/>
        </w:rPr>
        <w:t xml:space="preserve"> Arcadis Talent Scale – the Real Extent of Britain’s construction labour crisis, 2017 available at </w:t>
      </w:r>
      <w:hyperlink r:id="rId5" w:history="1">
        <w:r w:rsidRPr="00CD3AB6">
          <w:rPr>
            <w:rStyle w:val="Hyperlink"/>
            <w:sz w:val="16"/>
            <w:szCs w:val="16"/>
          </w:rPr>
          <w:t>https://www.arcadis.com/en/united-kingdom/our-perspectives/2017/february/britain-must-recruit-one-worker-every-77-seconds-to-meet-construction-needs/</w:t>
        </w:r>
      </w:hyperlink>
    </w:p>
  </w:footnote>
  <w:footnote w:id="17">
    <w:p w14:paraId="1DF2AC3F" w14:textId="22EB3633" w:rsidR="00862D82" w:rsidRPr="00CD3AB6" w:rsidRDefault="00862D82" w:rsidP="00BC34A6">
      <w:pPr>
        <w:pStyle w:val="FootnoteText"/>
        <w:rPr>
          <w:sz w:val="16"/>
          <w:szCs w:val="16"/>
        </w:rPr>
      </w:pPr>
      <w:r w:rsidRPr="00CD3AB6">
        <w:rPr>
          <w:rStyle w:val="FootnoteReference"/>
          <w:sz w:val="16"/>
          <w:szCs w:val="16"/>
        </w:rPr>
        <w:footnoteRef/>
      </w:r>
      <w:r w:rsidRPr="00CD3AB6">
        <w:rPr>
          <w:sz w:val="16"/>
          <w:szCs w:val="16"/>
        </w:rPr>
        <w:t xml:space="preserve"> Op cit.,p49-50.</w:t>
      </w:r>
    </w:p>
  </w:footnote>
  <w:footnote w:id="18">
    <w:p w14:paraId="0C2066FD" w14:textId="6FADFA0D" w:rsidR="00862D82" w:rsidRPr="00C85FF1" w:rsidRDefault="00862D82" w:rsidP="009B2E97">
      <w:pPr>
        <w:pStyle w:val="FootnoteText"/>
        <w:rPr>
          <w:sz w:val="16"/>
          <w:szCs w:val="16"/>
        </w:rPr>
      </w:pPr>
      <w:r w:rsidRPr="00C85FF1">
        <w:rPr>
          <w:rStyle w:val="FootnoteReference"/>
          <w:sz w:val="16"/>
          <w:szCs w:val="16"/>
        </w:rPr>
        <w:footnoteRef/>
      </w:r>
      <w:r w:rsidRPr="00C85FF1">
        <w:rPr>
          <w:sz w:val="16"/>
          <w:szCs w:val="16"/>
        </w:rPr>
        <w:t xml:space="preserve"> The Real Cost of New House Delivery, 2016. Society of Chartered Surveyors, 2016.</w:t>
      </w:r>
    </w:p>
  </w:footnote>
  <w:footnote w:id="19">
    <w:p w14:paraId="39DFF67B" w14:textId="77777777" w:rsidR="00862D82" w:rsidRPr="006C40C6" w:rsidRDefault="00862D82" w:rsidP="009B2E97">
      <w:pPr>
        <w:pStyle w:val="FootnoteText"/>
        <w:rPr>
          <w:sz w:val="16"/>
          <w:szCs w:val="16"/>
        </w:rPr>
      </w:pPr>
      <w:r w:rsidRPr="00C85FF1">
        <w:rPr>
          <w:rStyle w:val="FootnoteReference"/>
          <w:sz w:val="16"/>
          <w:szCs w:val="16"/>
        </w:rPr>
        <w:footnoteRef/>
      </w:r>
      <w:r w:rsidRPr="00C85FF1">
        <w:rPr>
          <w:sz w:val="16"/>
          <w:szCs w:val="16"/>
        </w:rPr>
        <w:t xml:space="preserve"> Ireland’s Competitiveness Challenge 2015, National Competitiveness Council, available at </w:t>
      </w:r>
      <w:hyperlink r:id="rId6" w:history="1">
        <w:r w:rsidRPr="006C40C6">
          <w:rPr>
            <w:rStyle w:val="Hyperlink"/>
            <w:sz w:val="16"/>
            <w:szCs w:val="16"/>
          </w:rPr>
          <w:t>http://www.competitiveness.ie/Publications/2015/Competitiveness-Challenge-2015.pdf</w:t>
        </w:r>
      </w:hyperlink>
    </w:p>
  </w:footnote>
  <w:footnote w:id="20">
    <w:p w14:paraId="61F29311" w14:textId="40FC9FB7" w:rsidR="00862D82" w:rsidRPr="00621AE4" w:rsidRDefault="00862D82">
      <w:pPr>
        <w:pStyle w:val="FootnoteText"/>
        <w:rPr>
          <w:sz w:val="16"/>
          <w:szCs w:val="16"/>
        </w:rPr>
      </w:pPr>
      <w:r w:rsidRPr="00621AE4">
        <w:rPr>
          <w:rStyle w:val="FootnoteReference"/>
          <w:sz w:val="16"/>
          <w:szCs w:val="16"/>
        </w:rPr>
        <w:footnoteRef/>
      </w:r>
      <w:r w:rsidRPr="00621AE4">
        <w:rPr>
          <w:sz w:val="16"/>
          <w:szCs w:val="16"/>
        </w:rPr>
        <w:t xml:space="preserve"> Commission Staff Working Document, European Commission, Country Report Ireland 2016, p.61-62.</w:t>
      </w:r>
    </w:p>
  </w:footnote>
  <w:footnote w:id="21">
    <w:p w14:paraId="5D9C0325" w14:textId="4394ED36" w:rsidR="00862D82" w:rsidRPr="00621AE4" w:rsidRDefault="00862D82">
      <w:pPr>
        <w:pStyle w:val="FootnoteText"/>
        <w:rPr>
          <w:sz w:val="16"/>
          <w:szCs w:val="16"/>
        </w:rPr>
      </w:pPr>
      <w:r w:rsidRPr="00621AE4">
        <w:rPr>
          <w:rStyle w:val="FootnoteReference"/>
          <w:sz w:val="16"/>
          <w:szCs w:val="16"/>
        </w:rPr>
        <w:footnoteRef/>
      </w:r>
      <w:r w:rsidRPr="00621AE4">
        <w:rPr>
          <w:sz w:val="16"/>
          <w:szCs w:val="16"/>
        </w:rPr>
        <w:t xml:space="preserve"> Commission Staff Working Document, European Commission, Country Report Ireland 2017, p.47.</w:t>
      </w:r>
    </w:p>
  </w:footnote>
  <w:footnote w:id="22">
    <w:p w14:paraId="3E9E49BD" w14:textId="0BD8FD3F" w:rsidR="00862D82" w:rsidRPr="00681AD3" w:rsidRDefault="00862D82">
      <w:pPr>
        <w:pStyle w:val="FootnoteText"/>
        <w:rPr>
          <w:sz w:val="16"/>
          <w:szCs w:val="16"/>
        </w:rPr>
      </w:pPr>
      <w:r w:rsidRPr="00681AD3">
        <w:rPr>
          <w:rStyle w:val="FootnoteReference"/>
          <w:sz w:val="16"/>
          <w:szCs w:val="16"/>
        </w:rPr>
        <w:footnoteRef/>
      </w:r>
      <w:r w:rsidRPr="00681AD3">
        <w:rPr>
          <w:sz w:val="16"/>
          <w:szCs w:val="16"/>
        </w:rPr>
        <w:t xml:space="preserve"> Ibid. p58.</w:t>
      </w:r>
    </w:p>
  </w:footnote>
  <w:footnote w:id="23">
    <w:p w14:paraId="3B4D0D70" w14:textId="14BC8F42" w:rsidR="00862D82" w:rsidRPr="00621AE4" w:rsidRDefault="00862D82" w:rsidP="003A4DC5">
      <w:pPr>
        <w:pStyle w:val="FootnoteText"/>
        <w:contextualSpacing/>
        <w:rPr>
          <w:sz w:val="16"/>
          <w:szCs w:val="16"/>
        </w:rPr>
      </w:pPr>
      <w:r w:rsidRPr="00621AE4">
        <w:rPr>
          <w:rStyle w:val="FootnoteReference"/>
          <w:sz w:val="16"/>
          <w:szCs w:val="16"/>
        </w:rPr>
        <w:footnoteRef/>
      </w:r>
      <w:r w:rsidRPr="00621AE4">
        <w:rPr>
          <w:sz w:val="16"/>
          <w:szCs w:val="16"/>
        </w:rPr>
        <w:t xml:space="preserve"> Gross Fixed Capital Formation, i.e. capital investment in building and construction and machinery and equipment.</w:t>
      </w:r>
    </w:p>
  </w:footnote>
  <w:footnote w:id="24">
    <w:p w14:paraId="16095C81" w14:textId="18BCB450" w:rsidR="00862D82" w:rsidRPr="00621AE4" w:rsidRDefault="00862D82" w:rsidP="003A4DC5">
      <w:pPr>
        <w:spacing w:line="240" w:lineRule="auto"/>
        <w:contextualSpacing/>
        <w:rPr>
          <w:sz w:val="16"/>
          <w:szCs w:val="16"/>
        </w:rPr>
      </w:pPr>
      <w:r w:rsidRPr="00621AE4">
        <w:rPr>
          <w:rStyle w:val="FootnoteReference"/>
          <w:sz w:val="16"/>
          <w:szCs w:val="16"/>
        </w:rPr>
        <w:footnoteRef/>
      </w:r>
      <w:r w:rsidRPr="00621AE4">
        <w:rPr>
          <w:sz w:val="16"/>
          <w:szCs w:val="16"/>
        </w:rPr>
        <w:t xml:space="preserve"> </w:t>
      </w:r>
      <w:r w:rsidRPr="00621AE4">
        <w:rPr>
          <w:i/>
          <w:sz w:val="16"/>
          <w:szCs w:val="16"/>
        </w:rPr>
        <w:t>Public Capital: Investment, Stocks and Depreciation</w:t>
      </w:r>
      <w:r w:rsidRPr="00621AE4">
        <w:rPr>
          <w:sz w:val="16"/>
          <w:szCs w:val="16"/>
        </w:rPr>
        <w:t>, Irish Fiscal Advisory Council Analytical Note No. 9; June 2016, 15.</w:t>
      </w:r>
    </w:p>
  </w:footnote>
  <w:footnote w:id="25">
    <w:p w14:paraId="002E8580" w14:textId="722D145E" w:rsidR="00862D82" w:rsidRPr="007305A0" w:rsidRDefault="00862D82" w:rsidP="003A4DC5">
      <w:pPr>
        <w:pStyle w:val="FootnoteText"/>
        <w:contextualSpacing/>
        <w:rPr>
          <w:sz w:val="16"/>
          <w:szCs w:val="16"/>
        </w:rPr>
      </w:pPr>
      <w:r w:rsidRPr="007305A0">
        <w:rPr>
          <w:rStyle w:val="FootnoteReference"/>
          <w:sz w:val="16"/>
          <w:szCs w:val="16"/>
        </w:rPr>
        <w:footnoteRef/>
      </w:r>
      <w:r w:rsidRPr="007305A0">
        <w:rPr>
          <w:sz w:val="16"/>
          <w:szCs w:val="16"/>
        </w:rPr>
        <w:t xml:space="preserve"> Op cit., p.16</w:t>
      </w:r>
    </w:p>
  </w:footnote>
  <w:footnote w:id="26">
    <w:p w14:paraId="13C441AA" w14:textId="77777777" w:rsidR="00862D82" w:rsidRPr="007305A0" w:rsidRDefault="00862D82" w:rsidP="003A4DC5">
      <w:pPr>
        <w:pStyle w:val="FootnoteText"/>
        <w:contextualSpacing/>
        <w:rPr>
          <w:sz w:val="16"/>
          <w:szCs w:val="16"/>
        </w:rPr>
      </w:pPr>
      <w:r w:rsidRPr="007305A0">
        <w:rPr>
          <w:rStyle w:val="FootnoteReference"/>
          <w:sz w:val="16"/>
          <w:szCs w:val="16"/>
        </w:rPr>
        <w:footnoteRef/>
      </w:r>
      <w:r w:rsidRPr="007305A0">
        <w:rPr>
          <w:sz w:val="16"/>
          <w:szCs w:val="16"/>
        </w:rPr>
        <w:t xml:space="preserve"> </w:t>
      </w:r>
      <w:r w:rsidRPr="007305A0">
        <w:rPr>
          <w:rFonts w:cs="HelveticaNeueLTPro-Lt"/>
          <w:i/>
          <w:sz w:val="16"/>
          <w:szCs w:val="16"/>
        </w:rPr>
        <w:t xml:space="preserve">The Global Competitiveness Report 2016–2017, </w:t>
      </w:r>
      <w:r w:rsidRPr="007305A0">
        <w:rPr>
          <w:rFonts w:cs="HelveticaNeueLTPro-Lt"/>
          <w:sz w:val="16"/>
          <w:szCs w:val="16"/>
        </w:rPr>
        <w:t>World Economic Forum, p.</w:t>
      </w:r>
      <w:r w:rsidRPr="007305A0">
        <w:rPr>
          <w:rFonts w:cs="HelveticaNeueLTPro-Md"/>
          <w:sz w:val="16"/>
          <w:szCs w:val="16"/>
        </w:rPr>
        <w:t>208</w:t>
      </w:r>
    </w:p>
  </w:footnote>
  <w:footnote w:id="27">
    <w:p w14:paraId="6B17D925" w14:textId="5301D8FF" w:rsidR="00862D82" w:rsidRPr="007305A0" w:rsidRDefault="00862D82" w:rsidP="003A4DC5">
      <w:pPr>
        <w:pStyle w:val="FootnoteText"/>
        <w:contextualSpacing/>
        <w:rPr>
          <w:sz w:val="16"/>
          <w:szCs w:val="16"/>
        </w:rPr>
      </w:pPr>
      <w:r w:rsidRPr="007305A0">
        <w:rPr>
          <w:rStyle w:val="FootnoteReference"/>
          <w:sz w:val="16"/>
          <w:szCs w:val="16"/>
        </w:rPr>
        <w:footnoteRef/>
      </w:r>
      <w:r w:rsidRPr="007305A0">
        <w:rPr>
          <w:sz w:val="16"/>
          <w:szCs w:val="16"/>
        </w:rPr>
        <w:t xml:space="preserve"> </w:t>
      </w:r>
      <w:r w:rsidRPr="007305A0">
        <w:rPr>
          <w:rFonts w:cs="HelveticaNeueLTPro-Lt"/>
          <w:sz w:val="16"/>
          <w:szCs w:val="16"/>
        </w:rPr>
        <w:t>Op cit., p.</w:t>
      </w:r>
      <w:r w:rsidRPr="007305A0">
        <w:rPr>
          <w:rFonts w:cs="HelveticaNeueLTPro-Md"/>
          <w:sz w:val="16"/>
          <w:szCs w:val="16"/>
        </w:rPr>
        <w:t>208</w:t>
      </w:r>
    </w:p>
  </w:footnote>
  <w:footnote w:id="28">
    <w:p w14:paraId="0CF2461B" w14:textId="77777777" w:rsidR="00862D82" w:rsidRPr="007305A0" w:rsidRDefault="00862D82" w:rsidP="003A4DC5">
      <w:pPr>
        <w:autoSpaceDE w:val="0"/>
        <w:autoSpaceDN w:val="0"/>
        <w:adjustRightInd w:val="0"/>
        <w:spacing w:line="240" w:lineRule="auto"/>
        <w:contextualSpacing/>
        <w:rPr>
          <w:rFonts w:cs="FrutigerNextPro-Medium"/>
          <w:sz w:val="16"/>
          <w:szCs w:val="16"/>
        </w:rPr>
      </w:pPr>
      <w:r w:rsidRPr="007305A0">
        <w:rPr>
          <w:rStyle w:val="FootnoteReference"/>
          <w:sz w:val="16"/>
          <w:szCs w:val="16"/>
        </w:rPr>
        <w:footnoteRef/>
      </w:r>
      <w:r w:rsidRPr="007305A0">
        <w:rPr>
          <w:sz w:val="16"/>
          <w:szCs w:val="16"/>
        </w:rPr>
        <w:t xml:space="preserve"> </w:t>
      </w:r>
      <w:r w:rsidRPr="007305A0">
        <w:rPr>
          <w:rFonts w:cs="FrutigerNextPro-Medium"/>
          <w:i/>
          <w:sz w:val="16"/>
          <w:szCs w:val="16"/>
        </w:rPr>
        <w:t>Investing In Our Transport Future - Strategic Investment Framework For Land Transport</w:t>
      </w:r>
      <w:r w:rsidRPr="007305A0">
        <w:rPr>
          <w:rFonts w:cs="FrutigerNextPro-Medium"/>
          <w:sz w:val="16"/>
          <w:szCs w:val="16"/>
        </w:rPr>
        <w:t>, Department of Transport, Tourism and Sport (2015), p.12</w:t>
      </w:r>
    </w:p>
  </w:footnote>
  <w:footnote w:id="29">
    <w:p w14:paraId="46F99247" w14:textId="21DAE18C" w:rsidR="00862D82" w:rsidRPr="007305A0" w:rsidRDefault="00862D82" w:rsidP="003A4DC5">
      <w:pPr>
        <w:pStyle w:val="FootnoteText"/>
        <w:contextualSpacing/>
        <w:rPr>
          <w:sz w:val="16"/>
          <w:szCs w:val="16"/>
        </w:rPr>
      </w:pPr>
      <w:r w:rsidRPr="007305A0">
        <w:rPr>
          <w:rStyle w:val="FootnoteReference"/>
          <w:sz w:val="16"/>
          <w:szCs w:val="16"/>
        </w:rPr>
        <w:footnoteRef/>
      </w:r>
      <w:r w:rsidRPr="007305A0">
        <w:rPr>
          <w:sz w:val="16"/>
          <w:szCs w:val="16"/>
        </w:rPr>
        <w:t xml:space="preserve"> </w:t>
      </w:r>
      <w:hyperlink r:id="rId7" w:history="1">
        <w:r w:rsidRPr="007305A0">
          <w:rPr>
            <w:rStyle w:val="Hyperlink"/>
            <w:sz w:val="16"/>
            <w:szCs w:val="16"/>
          </w:rPr>
          <w:t>http://www.tomtom.com/en_gb/trafficindex/city/dublin</w:t>
        </w:r>
      </w:hyperlink>
    </w:p>
  </w:footnote>
  <w:footnote w:id="30">
    <w:p w14:paraId="74B07C45" w14:textId="3C54E7A5" w:rsidR="00862D82" w:rsidRPr="007305A0" w:rsidRDefault="00862D82">
      <w:pPr>
        <w:pStyle w:val="FootnoteText"/>
        <w:rPr>
          <w:sz w:val="16"/>
          <w:szCs w:val="16"/>
        </w:rPr>
      </w:pPr>
      <w:r w:rsidRPr="007305A0">
        <w:rPr>
          <w:rStyle w:val="FootnoteReference"/>
          <w:sz w:val="16"/>
          <w:szCs w:val="16"/>
        </w:rPr>
        <w:footnoteRef/>
      </w:r>
      <w:r w:rsidRPr="007305A0">
        <w:rPr>
          <w:sz w:val="16"/>
          <w:szCs w:val="16"/>
        </w:rPr>
        <w:t xml:space="preserve"> </w:t>
      </w:r>
      <w:r w:rsidRPr="007305A0">
        <w:rPr>
          <w:i/>
          <w:sz w:val="16"/>
          <w:szCs w:val="16"/>
        </w:rPr>
        <w:t>Investing in Mobility, The Importance of Transport Infrastructure</w:t>
      </w:r>
      <w:r w:rsidRPr="007305A0">
        <w:rPr>
          <w:sz w:val="16"/>
          <w:szCs w:val="16"/>
        </w:rPr>
        <w:t>, Presentation by Peter Walsh, Director Capital Programmes, TII, 27</w:t>
      </w:r>
      <w:r w:rsidRPr="007305A0">
        <w:rPr>
          <w:sz w:val="16"/>
          <w:szCs w:val="16"/>
          <w:vertAlign w:val="superscript"/>
        </w:rPr>
        <w:t>th</w:t>
      </w:r>
      <w:r w:rsidRPr="007305A0">
        <w:rPr>
          <w:sz w:val="16"/>
          <w:szCs w:val="16"/>
        </w:rPr>
        <w:t xml:space="preserve"> September 2016.</w:t>
      </w:r>
    </w:p>
  </w:footnote>
  <w:footnote w:id="31">
    <w:p w14:paraId="650B7094" w14:textId="5623AC3F" w:rsidR="00862D82" w:rsidRPr="005713E3" w:rsidRDefault="00862D82" w:rsidP="003A4DC5">
      <w:pPr>
        <w:pStyle w:val="FootnoteText"/>
        <w:contextualSpacing/>
        <w:rPr>
          <w:sz w:val="16"/>
          <w:szCs w:val="16"/>
        </w:rPr>
      </w:pPr>
      <w:r w:rsidRPr="007305A0">
        <w:rPr>
          <w:rStyle w:val="FootnoteReference"/>
          <w:sz w:val="16"/>
          <w:szCs w:val="16"/>
        </w:rPr>
        <w:footnoteRef/>
      </w:r>
      <w:r w:rsidRPr="007305A0">
        <w:rPr>
          <w:sz w:val="16"/>
          <w:szCs w:val="16"/>
        </w:rPr>
        <w:t xml:space="preserve"> </w:t>
      </w:r>
      <w:r w:rsidRPr="007305A0">
        <w:rPr>
          <w:i/>
          <w:sz w:val="16"/>
          <w:szCs w:val="16"/>
        </w:rPr>
        <w:t>Key Transport Statistics: 2015 Data</w:t>
      </w:r>
      <w:r w:rsidRPr="007305A0">
        <w:rPr>
          <w:sz w:val="16"/>
          <w:szCs w:val="16"/>
        </w:rPr>
        <w:t xml:space="preserve">, International Transport Forum (2016), </w:t>
      </w:r>
      <w:hyperlink r:id="rId8" w:history="1">
        <w:r w:rsidRPr="007305A0">
          <w:rPr>
            <w:rStyle w:val="Hyperlink"/>
            <w:sz w:val="16"/>
            <w:szCs w:val="16"/>
          </w:rPr>
          <w:t>http://www.itf-oecd.org/sites/default/files/docs/key-transport-statistics_2016_0.pdf</w:t>
        </w:r>
      </w:hyperlink>
    </w:p>
  </w:footnote>
  <w:footnote w:id="32">
    <w:p w14:paraId="41A0A577" w14:textId="77777777" w:rsidR="00862D82" w:rsidRPr="00A70C7D" w:rsidRDefault="00862D82" w:rsidP="003A4DC5">
      <w:pPr>
        <w:pStyle w:val="FootnoteText"/>
        <w:contextualSpacing/>
        <w:rPr>
          <w:sz w:val="16"/>
          <w:szCs w:val="16"/>
        </w:rPr>
      </w:pPr>
      <w:r w:rsidRPr="00A70C7D">
        <w:rPr>
          <w:rStyle w:val="FootnoteReference"/>
          <w:sz w:val="16"/>
          <w:szCs w:val="16"/>
        </w:rPr>
        <w:footnoteRef/>
      </w:r>
      <w:r w:rsidRPr="00A70C7D">
        <w:rPr>
          <w:sz w:val="16"/>
          <w:szCs w:val="16"/>
        </w:rPr>
        <w:t xml:space="preserve"> </w:t>
      </w:r>
      <w:r w:rsidRPr="00A70C7D">
        <w:rPr>
          <w:i/>
          <w:sz w:val="16"/>
          <w:szCs w:val="16"/>
        </w:rPr>
        <w:t>Measuring the Information Society Report 2016,</w:t>
      </w:r>
      <w:r w:rsidRPr="00A70C7D">
        <w:rPr>
          <w:sz w:val="16"/>
          <w:szCs w:val="16"/>
        </w:rPr>
        <w:t xml:space="preserve"> International Telecommunications Union (2016)</w:t>
      </w:r>
    </w:p>
  </w:footnote>
  <w:footnote w:id="33">
    <w:p w14:paraId="4AF8A5FD" w14:textId="48E9449D" w:rsidR="00862D82" w:rsidRPr="00A70C7D" w:rsidRDefault="00862D82" w:rsidP="003A4DC5">
      <w:pPr>
        <w:autoSpaceDE w:val="0"/>
        <w:autoSpaceDN w:val="0"/>
        <w:adjustRightInd w:val="0"/>
        <w:spacing w:line="240" w:lineRule="auto"/>
        <w:contextualSpacing/>
        <w:rPr>
          <w:rFonts w:cs="HelveticaNeue-Light"/>
          <w:sz w:val="16"/>
          <w:szCs w:val="16"/>
        </w:rPr>
      </w:pPr>
      <w:r w:rsidRPr="00A70C7D">
        <w:rPr>
          <w:rStyle w:val="FootnoteReference"/>
          <w:sz w:val="16"/>
          <w:szCs w:val="16"/>
        </w:rPr>
        <w:footnoteRef/>
      </w:r>
      <w:r w:rsidRPr="00A70C7D">
        <w:rPr>
          <w:sz w:val="16"/>
          <w:szCs w:val="16"/>
        </w:rPr>
        <w:t xml:space="preserve"> </w:t>
      </w:r>
      <w:r w:rsidRPr="00A70C7D">
        <w:rPr>
          <w:rFonts w:cs="HelveticaNeue-LightItalic"/>
          <w:i/>
          <w:iCs/>
          <w:sz w:val="16"/>
          <w:szCs w:val="16"/>
        </w:rPr>
        <w:t xml:space="preserve">National Statement of Housing Supply and Demand 2016 and Outlook for 2017-18, </w:t>
      </w:r>
      <w:r w:rsidRPr="00A70C7D">
        <w:rPr>
          <w:rFonts w:cs="HelveticaNeue-Light"/>
          <w:sz w:val="16"/>
          <w:szCs w:val="16"/>
        </w:rPr>
        <w:t>Housing Agency (2017),</w:t>
      </w:r>
      <w:r w:rsidRPr="00A70C7D">
        <w:rPr>
          <w:rFonts w:cs="HelveticaNeue-LightItalic"/>
          <w:i/>
          <w:iCs/>
          <w:sz w:val="16"/>
          <w:szCs w:val="16"/>
        </w:rPr>
        <w:t xml:space="preserve"> </w:t>
      </w:r>
      <w:hyperlink r:id="rId9" w:history="1">
        <w:r w:rsidRPr="00A70C7D">
          <w:rPr>
            <w:rStyle w:val="Hyperlink"/>
            <w:rFonts w:cs="HelveticaNeue-LightItalic"/>
            <w:i/>
            <w:iCs/>
            <w:sz w:val="16"/>
            <w:szCs w:val="16"/>
          </w:rPr>
          <w:t>https://www.housingagency.ie/our-publications/latest-publications.aspx</w:t>
        </w:r>
      </w:hyperlink>
    </w:p>
  </w:footnote>
  <w:footnote w:id="34">
    <w:p w14:paraId="3674E0AA" w14:textId="60530ED8" w:rsidR="00862D82" w:rsidRPr="00A70C7D" w:rsidRDefault="00862D82" w:rsidP="00A83D1C">
      <w:pPr>
        <w:pStyle w:val="FootnoteText"/>
        <w:jc w:val="left"/>
        <w:rPr>
          <w:sz w:val="16"/>
          <w:szCs w:val="16"/>
        </w:rPr>
      </w:pPr>
      <w:r w:rsidRPr="00A70C7D">
        <w:rPr>
          <w:rStyle w:val="FootnoteReference"/>
          <w:sz w:val="16"/>
          <w:szCs w:val="16"/>
        </w:rPr>
        <w:footnoteRef/>
      </w:r>
      <w:r w:rsidRPr="00A70C7D">
        <w:rPr>
          <w:sz w:val="16"/>
          <w:szCs w:val="16"/>
        </w:rPr>
        <w:t xml:space="preserve"> Euroconstruct, November 2016.</w:t>
      </w:r>
    </w:p>
  </w:footnote>
  <w:footnote w:id="35">
    <w:p w14:paraId="1017C101" w14:textId="113B3F74" w:rsidR="00862D82" w:rsidRPr="00A70C7D" w:rsidRDefault="00862D82" w:rsidP="00A83D1C">
      <w:pPr>
        <w:pStyle w:val="FootnoteText"/>
        <w:jc w:val="left"/>
        <w:rPr>
          <w:sz w:val="16"/>
          <w:szCs w:val="16"/>
        </w:rPr>
      </w:pPr>
      <w:r w:rsidRPr="00A70C7D">
        <w:rPr>
          <w:rStyle w:val="FootnoteReference"/>
          <w:sz w:val="16"/>
          <w:szCs w:val="16"/>
        </w:rPr>
        <w:footnoteRef/>
      </w:r>
      <w:r w:rsidRPr="00A70C7D">
        <w:rPr>
          <w:sz w:val="16"/>
          <w:szCs w:val="16"/>
        </w:rPr>
        <w:t xml:space="preserve"> </w:t>
      </w:r>
      <w:hyperlink r:id="rId10" w:history="1">
        <w:r w:rsidRPr="00A70C7D">
          <w:rPr>
            <w:rStyle w:val="Hyperlink"/>
            <w:sz w:val="16"/>
            <w:szCs w:val="16"/>
          </w:rPr>
          <w:t>http://www.cso.ie/en/releasesandpublications/ep/p-cpr/censusofpopulation2016-preliminaryresults/intro/</w:t>
        </w:r>
      </w:hyperlink>
    </w:p>
  </w:footnote>
  <w:footnote w:id="36">
    <w:p w14:paraId="7C308B76" w14:textId="28FDF984" w:rsidR="00862D82" w:rsidRPr="00A83D1C" w:rsidRDefault="00862D82" w:rsidP="00A83D1C">
      <w:pPr>
        <w:pStyle w:val="FootnoteText"/>
        <w:jc w:val="left"/>
        <w:rPr>
          <w:sz w:val="18"/>
          <w:szCs w:val="18"/>
        </w:rPr>
      </w:pPr>
      <w:r w:rsidRPr="00A70C7D">
        <w:rPr>
          <w:rStyle w:val="FootnoteReference"/>
          <w:sz w:val="16"/>
          <w:szCs w:val="16"/>
        </w:rPr>
        <w:footnoteRef/>
      </w:r>
      <w:hyperlink r:id="rId11" w:history="1">
        <w:r w:rsidRPr="00A70C7D">
          <w:rPr>
            <w:rStyle w:val="Hyperlink"/>
            <w:sz w:val="16"/>
            <w:szCs w:val="16"/>
          </w:rPr>
          <w:t>http://www.cso.ie/en/newsandevents/pressreleases/2013pressreleases/pressreleasepopulationandlabourforceprojections2016-2046/</w:t>
        </w:r>
      </w:hyperlink>
    </w:p>
  </w:footnote>
  <w:footnote w:id="37">
    <w:p w14:paraId="7341895B" w14:textId="77777777" w:rsidR="00862D82" w:rsidRPr="00BC34A6" w:rsidRDefault="00862D82" w:rsidP="00CA6467">
      <w:pPr>
        <w:autoSpaceDE w:val="0"/>
        <w:autoSpaceDN w:val="0"/>
        <w:adjustRightInd w:val="0"/>
        <w:spacing w:line="240" w:lineRule="auto"/>
        <w:rPr>
          <w:sz w:val="16"/>
          <w:szCs w:val="16"/>
        </w:rPr>
      </w:pPr>
      <w:r w:rsidRPr="00BC34A6">
        <w:rPr>
          <w:rStyle w:val="FootnoteReference"/>
          <w:sz w:val="16"/>
          <w:szCs w:val="16"/>
        </w:rPr>
        <w:footnoteRef/>
      </w:r>
      <w:r w:rsidRPr="00BC34A6">
        <w:rPr>
          <w:sz w:val="16"/>
          <w:szCs w:val="16"/>
        </w:rPr>
        <w:t xml:space="preserve"> </w:t>
      </w:r>
      <w:r w:rsidRPr="00BC34A6">
        <w:rPr>
          <w:rFonts w:cs="HouschkaMedium"/>
          <w:sz w:val="16"/>
          <w:szCs w:val="16"/>
        </w:rPr>
        <w:t xml:space="preserve">Building on Recovery: Infrastructure and Capital Investment 2016-2021,DPER, September 2015, </w:t>
      </w:r>
      <w:r w:rsidRPr="00BC34A6">
        <w:rPr>
          <w:sz w:val="16"/>
          <w:szCs w:val="16"/>
        </w:rPr>
        <w:t>P19</w:t>
      </w:r>
    </w:p>
  </w:footnote>
  <w:footnote w:id="38">
    <w:p w14:paraId="24AB5EC7" w14:textId="306B67CF" w:rsidR="00862D82" w:rsidRPr="00980047" w:rsidRDefault="00862D82" w:rsidP="00A83D1C">
      <w:pPr>
        <w:pStyle w:val="FootnoteText"/>
        <w:contextualSpacing/>
        <w:rPr>
          <w:sz w:val="16"/>
          <w:szCs w:val="16"/>
        </w:rPr>
      </w:pPr>
      <w:r w:rsidRPr="00980047">
        <w:rPr>
          <w:rStyle w:val="FootnoteReference"/>
          <w:sz w:val="16"/>
          <w:szCs w:val="16"/>
        </w:rPr>
        <w:footnoteRef/>
      </w:r>
      <w:r w:rsidRPr="00980047">
        <w:rPr>
          <w:sz w:val="16"/>
          <w:szCs w:val="16"/>
        </w:rPr>
        <w:t xml:space="preserve"> </w:t>
      </w:r>
      <w:hyperlink r:id="rId12" w:history="1">
        <w:r w:rsidRPr="00980047">
          <w:rPr>
            <w:rStyle w:val="Hyperlink"/>
            <w:sz w:val="16"/>
            <w:szCs w:val="16"/>
          </w:rPr>
          <w:t>http://www.cso.ie/en/releasesandpublications/er/rpp/regionalpopulationprojections2016-2031/</w:t>
        </w:r>
      </w:hyperlink>
    </w:p>
  </w:footnote>
  <w:footnote w:id="39">
    <w:p w14:paraId="5A60363A" w14:textId="77777777" w:rsidR="00862D82" w:rsidRPr="00980047" w:rsidRDefault="00862D82" w:rsidP="00A83D1C">
      <w:pPr>
        <w:pStyle w:val="FootnoteText"/>
        <w:contextualSpacing/>
        <w:rPr>
          <w:sz w:val="16"/>
          <w:szCs w:val="16"/>
        </w:rPr>
      </w:pPr>
      <w:r w:rsidRPr="00980047">
        <w:rPr>
          <w:rStyle w:val="FootnoteReference"/>
          <w:sz w:val="16"/>
          <w:szCs w:val="16"/>
        </w:rPr>
        <w:footnoteRef/>
      </w:r>
      <w:r w:rsidRPr="00980047">
        <w:rPr>
          <w:sz w:val="16"/>
          <w:szCs w:val="16"/>
        </w:rPr>
        <w:t xml:space="preserve"> I.e. As of December 2013 the CSO was forecasting a national population in 2016 of 4,687 million, whereas the actual outturn as of the April 2016 Census was 4,758.</w:t>
      </w:r>
    </w:p>
  </w:footnote>
  <w:footnote w:id="40">
    <w:p w14:paraId="09A3BF67" w14:textId="03626A02" w:rsidR="00862D82" w:rsidRDefault="00862D82" w:rsidP="008E2605">
      <w:pPr>
        <w:pStyle w:val="FootnoteText"/>
        <w:jc w:val="left"/>
      </w:pPr>
      <w:r>
        <w:rPr>
          <w:rStyle w:val="FootnoteReference"/>
        </w:rPr>
        <w:footnoteRef/>
      </w:r>
      <w:r>
        <w:t xml:space="preserve"> </w:t>
      </w:r>
      <w:r w:rsidRPr="00CE04CD">
        <w:rPr>
          <w:sz w:val="16"/>
          <w:szCs w:val="16"/>
        </w:rPr>
        <w:t xml:space="preserve">Competitiveness Challenge 2016, National Competitiveness Council., available at </w:t>
      </w:r>
      <w:hyperlink r:id="rId13" w:history="1">
        <w:r w:rsidRPr="00CE04CD">
          <w:rPr>
            <w:rStyle w:val="Hyperlink"/>
            <w:sz w:val="16"/>
            <w:szCs w:val="16"/>
          </w:rPr>
          <w:t>http://www.competitiveness.ie/Publications/2016/Competitiveness-Challenge-2016-NCC1.pdf</w:t>
        </w:r>
      </w:hyperlink>
    </w:p>
  </w:footnote>
  <w:footnote w:id="41">
    <w:p w14:paraId="5FCAC071" w14:textId="77675A43" w:rsidR="00862D82" w:rsidRPr="007953B6" w:rsidRDefault="00862D82">
      <w:pPr>
        <w:pStyle w:val="FootnoteText"/>
        <w:rPr>
          <w:sz w:val="16"/>
          <w:szCs w:val="16"/>
        </w:rPr>
      </w:pPr>
      <w:r>
        <w:rPr>
          <w:rStyle w:val="FootnoteReference"/>
        </w:rPr>
        <w:footnoteRef/>
      </w:r>
      <w:r>
        <w:t xml:space="preserve"> </w:t>
      </w:r>
      <w:hyperlink r:id="rId14" w:history="1">
        <w:r w:rsidRPr="007953B6">
          <w:rPr>
            <w:rStyle w:val="Hyperlink"/>
            <w:sz w:val="16"/>
            <w:szCs w:val="16"/>
          </w:rPr>
          <w:t>http://ec.europa.eu/eurostat/tgm/table.do?tab=table&amp;init=1&amp;language=en&amp;pcode=tec00115&amp;plugin=1</w:t>
        </w:r>
      </w:hyperlink>
    </w:p>
  </w:footnote>
  <w:footnote w:id="42">
    <w:p w14:paraId="16AD4A51" w14:textId="77777777" w:rsidR="00862D82" w:rsidRPr="007953B6" w:rsidRDefault="00862D82" w:rsidP="00CD67CA">
      <w:pPr>
        <w:pStyle w:val="FootnoteText"/>
        <w:rPr>
          <w:sz w:val="16"/>
          <w:szCs w:val="16"/>
        </w:rPr>
      </w:pPr>
      <w:r w:rsidRPr="007953B6">
        <w:rPr>
          <w:rStyle w:val="FootnoteReference"/>
          <w:sz w:val="16"/>
          <w:szCs w:val="16"/>
        </w:rPr>
        <w:footnoteRef/>
      </w:r>
      <w:r w:rsidRPr="007953B6">
        <w:rPr>
          <w:sz w:val="16"/>
          <w:szCs w:val="16"/>
        </w:rPr>
        <w:t xml:space="preserve"> The consensus forecast is based on taking a weighted average of forecasts from the Central Bank, the Department of Finance, the ESRI, the IMF and the OECD.</w:t>
      </w:r>
    </w:p>
  </w:footnote>
  <w:footnote w:id="43">
    <w:p w14:paraId="1108BCCD" w14:textId="77777777" w:rsidR="00862D82" w:rsidRPr="007953B6" w:rsidRDefault="00862D82" w:rsidP="00CD67CA">
      <w:pPr>
        <w:pStyle w:val="FootnoteText"/>
        <w:jc w:val="left"/>
        <w:rPr>
          <w:sz w:val="16"/>
          <w:szCs w:val="16"/>
          <w:lang w:val="en-GB"/>
        </w:rPr>
      </w:pPr>
      <w:r w:rsidRPr="007953B6">
        <w:rPr>
          <w:rStyle w:val="FootnoteReference"/>
          <w:sz w:val="16"/>
          <w:szCs w:val="16"/>
        </w:rPr>
        <w:footnoteRef/>
      </w:r>
      <w:r w:rsidRPr="007953B6">
        <w:rPr>
          <w:sz w:val="16"/>
          <w:szCs w:val="16"/>
        </w:rPr>
        <w:t xml:space="preserve"> Department of Finance, Budget 2017, Economic and Fiscal Outlook 2017. See </w:t>
      </w:r>
      <w:hyperlink r:id="rId15" w:history="1">
        <w:r w:rsidRPr="007953B6">
          <w:rPr>
            <w:rStyle w:val="Hyperlink"/>
            <w:sz w:val="16"/>
            <w:szCs w:val="16"/>
          </w:rPr>
          <w:t>http://www.budget.gov.ie/Budgets/2017/Documents/Economic%20and%20Fiscal%20Outlook%202017.pdf</w:t>
        </w:r>
      </w:hyperlink>
    </w:p>
  </w:footnote>
  <w:footnote w:id="44">
    <w:p w14:paraId="173FC0DE" w14:textId="77777777" w:rsidR="00862D82" w:rsidRPr="00CC429C" w:rsidRDefault="00862D82" w:rsidP="00CD67CA">
      <w:pPr>
        <w:pStyle w:val="FootnoteText"/>
        <w:rPr>
          <w:sz w:val="16"/>
          <w:szCs w:val="16"/>
          <w:lang w:val="en-GB"/>
        </w:rPr>
      </w:pPr>
      <w:r w:rsidRPr="00CC429C">
        <w:rPr>
          <w:rStyle w:val="FootnoteReference"/>
          <w:sz w:val="16"/>
          <w:szCs w:val="16"/>
        </w:rPr>
        <w:footnoteRef/>
      </w:r>
      <w:r w:rsidRPr="00CC429C">
        <w:rPr>
          <w:sz w:val="16"/>
          <w:szCs w:val="16"/>
        </w:rPr>
        <w:t xml:space="preserve"> </w:t>
      </w:r>
      <w:hyperlink r:id="rId16" w:history="1">
        <w:r w:rsidRPr="00CC429C">
          <w:rPr>
            <w:rStyle w:val="Hyperlink"/>
            <w:sz w:val="16"/>
            <w:szCs w:val="16"/>
          </w:rPr>
          <w:t>http://www.esri.ie/pubs/EO1.pdf</w:t>
        </w:r>
      </w:hyperlink>
      <w:r w:rsidRPr="00CC429C">
        <w:rPr>
          <w:sz w:val="16"/>
          <w:szCs w:val="16"/>
        </w:rPr>
        <w:t xml:space="preserve"> December 2016.</w:t>
      </w:r>
    </w:p>
  </w:footnote>
  <w:footnote w:id="45">
    <w:p w14:paraId="432DAA30" w14:textId="576A689B" w:rsidR="00862D82" w:rsidRPr="00CC429C" w:rsidRDefault="00862D82">
      <w:pPr>
        <w:pStyle w:val="FootnoteText"/>
        <w:rPr>
          <w:sz w:val="16"/>
          <w:szCs w:val="16"/>
        </w:rPr>
      </w:pPr>
      <w:r w:rsidRPr="00CC429C">
        <w:rPr>
          <w:rStyle w:val="FootnoteReference"/>
          <w:sz w:val="16"/>
          <w:szCs w:val="16"/>
        </w:rPr>
        <w:footnoteRef/>
      </w:r>
      <w:r w:rsidRPr="00CC429C">
        <w:rPr>
          <w:sz w:val="16"/>
          <w:szCs w:val="16"/>
        </w:rPr>
        <w:t xml:space="preserve"> The scenarios are those prepared by the CSO and reflect different combinations of assumption about the level of net inward migration and fertility rates. See Population and Labour Force Projections 2016-2046, CSO at</w:t>
      </w:r>
    </w:p>
    <w:p w14:paraId="5F2A4E68" w14:textId="49E6D093" w:rsidR="00862D82" w:rsidRPr="00CC429C" w:rsidRDefault="00DB2739">
      <w:pPr>
        <w:pStyle w:val="FootnoteText"/>
        <w:rPr>
          <w:sz w:val="16"/>
          <w:szCs w:val="16"/>
        </w:rPr>
      </w:pPr>
      <w:hyperlink r:id="rId17" w:history="1">
        <w:r w:rsidR="00862D82" w:rsidRPr="00CC429C">
          <w:rPr>
            <w:rStyle w:val="Hyperlink"/>
            <w:sz w:val="16"/>
            <w:szCs w:val="16"/>
          </w:rPr>
          <w:t>http://www.cso.ie/en/media/csoie/releasespublications/documents/population/2013/poplabfor2016_2046.pdf</w:t>
        </w:r>
      </w:hyperlink>
    </w:p>
    <w:p w14:paraId="050F6D01" w14:textId="750EE7DC" w:rsidR="00862D82" w:rsidRPr="00980047" w:rsidRDefault="00862D82">
      <w:pPr>
        <w:pStyle w:val="FootnoteText"/>
        <w:rPr>
          <w:sz w:val="16"/>
          <w:szCs w:val="16"/>
        </w:rPr>
      </w:pPr>
      <w:r w:rsidRPr="00980047">
        <w:rPr>
          <w:sz w:val="16"/>
          <w:szCs w:val="16"/>
        </w:rPr>
        <w:t xml:space="preserve"> </w:t>
      </w:r>
    </w:p>
  </w:footnote>
  <w:footnote w:id="46">
    <w:p w14:paraId="02A7AFB2" w14:textId="77777777" w:rsidR="00862D82" w:rsidRPr="00844E6D" w:rsidRDefault="00862D82" w:rsidP="003A4DC5">
      <w:pPr>
        <w:autoSpaceDE w:val="0"/>
        <w:autoSpaceDN w:val="0"/>
        <w:adjustRightInd w:val="0"/>
        <w:spacing w:line="240" w:lineRule="auto"/>
        <w:contextualSpacing/>
        <w:rPr>
          <w:sz w:val="16"/>
          <w:szCs w:val="16"/>
        </w:rPr>
      </w:pPr>
      <w:r w:rsidRPr="00844E6D">
        <w:rPr>
          <w:rStyle w:val="FootnoteReference"/>
          <w:sz w:val="16"/>
          <w:szCs w:val="16"/>
        </w:rPr>
        <w:footnoteRef/>
      </w:r>
      <w:r w:rsidRPr="00844E6D">
        <w:rPr>
          <w:sz w:val="16"/>
          <w:szCs w:val="16"/>
        </w:rPr>
        <w:t xml:space="preserve"> </w:t>
      </w:r>
      <w:r w:rsidRPr="00844E6D">
        <w:rPr>
          <w:rFonts w:cs="Tahoma,Bold"/>
          <w:bCs/>
          <w:i/>
          <w:sz w:val="16"/>
          <w:szCs w:val="16"/>
        </w:rPr>
        <w:t xml:space="preserve">Public Capital Programme 2016 to 2021: Labour Intensity of Public Investment, </w:t>
      </w:r>
      <w:r w:rsidRPr="00844E6D">
        <w:rPr>
          <w:rFonts w:cs="Tahoma,Bold"/>
          <w:bCs/>
          <w:sz w:val="16"/>
          <w:szCs w:val="16"/>
        </w:rPr>
        <w:t>Irish Government Economic &amp; Evaluation Service (December 2015), p.4</w:t>
      </w:r>
    </w:p>
  </w:footnote>
  <w:footnote w:id="47">
    <w:p w14:paraId="4CF43EFB" w14:textId="58AEFB74" w:rsidR="00862D82" w:rsidRPr="005D6F2D" w:rsidRDefault="00862D82">
      <w:pPr>
        <w:pStyle w:val="FootnoteText"/>
        <w:rPr>
          <w:sz w:val="16"/>
          <w:szCs w:val="16"/>
        </w:rPr>
      </w:pPr>
      <w:r w:rsidRPr="005D6F2D">
        <w:rPr>
          <w:rStyle w:val="FootnoteReference"/>
          <w:sz w:val="16"/>
          <w:szCs w:val="16"/>
        </w:rPr>
        <w:footnoteRef/>
      </w:r>
      <w:r w:rsidRPr="005D6F2D">
        <w:rPr>
          <w:sz w:val="16"/>
          <w:szCs w:val="16"/>
        </w:rPr>
        <w:t xml:space="preserve"> </w:t>
      </w:r>
      <w:hyperlink r:id="rId18" w:history="1">
        <w:r w:rsidRPr="005D6F2D">
          <w:rPr>
            <w:rStyle w:val="Hyperlink"/>
            <w:sz w:val="16"/>
            <w:szCs w:val="16"/>
          </w:rPr>
          <w:t>http://www.per.gov.ie/en/rev/</w:t>
        </w:r>
      </w:hyperlink>
    </w:p>
  </w:footnote>
  <w:footnote w:id="48">
    <w:p w14:paraId="07E61DB7" w14:textId="77777777" w:rsidR="00862D82" w:rsidRPr="008766F7" w:rsidRDefault="00862D82" w:rsidP="003A4DC5">
      <w:pPr>
        <w:pStyle w:val="FootnoteText"/>
        <w:contextualSpacing/>
        <w:rPr>
          <w:sz w:val="18"/>
          <w:szCs w:val="18"/>
        </w:rPr>
      </w:pPr>
      <w:r w:rsidRPr="008766F7">
        <w:rPr>
          <w:rStyle w:val="FootnoteReference"/>
          <w:sz w:val="18"/>
          <w:szCs w:val="18"/>
        </w:rPr>
        <w:footnoteRef/>
      </w:r>
      <w:r w:rsidRPr="008766F7">
        <w:rPr>
          <w:sz w:val="18"/>
          <w:szCs w:val="18"/>
        </w:rPr>
        <w:t xml:space="preserve"> Sectoral Economic Investment: Agriculture and Food, Industry, Tourism, Fisheries, Forestry; Productive Infrastructure: Energy, Transport, Environmental Services, Communication; Social Infrastructure: Housing, Education &amp; Skills, Health &amp; Children, Government Construction </w:t>
      </w:r>
    </w:p>
  </w:footnote>
  <w:footnote w:id="49">
    <w:p w14:paraId="13506329" w14:textId="72E174B1" w:rsidR="00862D82" w:rsidRPr="008766F7" w:rsidRDefault="00862D82">
      <w:pPr>
        <w:pStyle w:val="FootnoteText"/>
        <w:rPr>
          <w:sz w:val="18"/>
          <w:szCs w:val="18"/>
        </w:rPr>
      </w:pPr>
      <w:r w:rsidRPr="008766F7">
        <w:rPr>
          <w:rStyle w:val="FootnoteReference"/>
          <w:sz w:val="18"/>
          <w:szCs w:val="18"/>
        </w:rPr>
        <w:footnoteRef/>
      </w:r>
      <w:r w:rsidRPr="008766F7">
        <w:rPr>
          <w:sz w:val="18"/>
          <w:szCs w:val="18"/>
        </w:rPr>
        <w:t xml:space="preserve"> Appendix 1 contains a summary of the main capital investment priorities in the Capital Plan for the period 2016-2021.</w:t>
      </w:r>
    </w:p>
  </w:footnote>
  <w:footnote w:id="50">
    <w:p w14:paraId="6E991F39" w14:textId="41302AEA" w:rsidR="00862D82" w:rsidRPr="008766F7" w:rsidRDefault="00862D82" w:rsidP="003A4DC5">
      <w:pPr>
        <w:autoSpaceDE w:val="0"/>
        <w:autoSpaceDN w:val="0"/>
        <w:adjustRightInd w:val="0"/>
        <w:spacing w:line="240" w:lineRule="auto"/>
        <w:contextualSpacing/>
        <w:rPr>
          <w:sz w:val="18"/>
          <w:szCs w:val="18"/>
        </w:rPr>
      </w:pPr>
      <w:r w:rsidRPr="008766F7">
        <w:rPr>
          <w:rStyle w:val="FootnoteReference"/>
          <w:sz w:val="18"/>
          <w:szCs w:val="18"/>
        </w:rPr>
        <w:footnoteRef/>
      </w:r>
      <w:r w:rsidRPr="008766F7">
        <w:rPr>
          <w:sz w:val="18"/>
          <w:szCs w:val="18"/>
        </w:rPr>
        <w:t xml:space="preserve"> </w:t>
      </w:r>
      <w:r w:rsidRPr="008766F7">
        <w:rPr>
          <w:rFonts w:cs="HelveticaNeue-Light"/>
          <w:sz w:val="18"/>
          <w:szCs w:val="18"/>
        </w:rPr>
        <w:t xml:space="preserve">Op cit., </w:t>
      </w:r>
      <w:r w:rsidRPr="008766F7">
        <w:rPr>
          <w:rFonts w:cs="HelveticaNeue-Light"/>
          <w:i/>
          <w:sz w:val="18"/>
          <w:szCs w:val="18"/>
        </w:rPr>
        <w:t>Capital Plan</w:t>
      </w:r>
      <w:r w:rsidRPr="008766F7">
        <w:rPr>
          <w:rFonts w:cs="HelveticaNeue-Light"/>
          <w:sz w:val="18"/>
          <w:szCs w:val="18"/>
        </w:rPr>
        <w:t>, p.9</w:t>
      </w:r>
    </w:p>
  </w:footnote>
  <w:footnote w:id="51">
    <w:p w14:paraId="034FD196" w14:textId="6D4C56CA" w:rsidR="00862D82" w:rsidRPr="005D6F2D" w:rsidRDefault="00862D82" w:rsidP="003A4DC5">
      <w:pPr>
        <w:pStyle w:val="FootnoteText"/>
        <w:contextualSpacing/>
        <w:rPr>
          <w:sz w:val="16"/>
          <w:szCs w:val="16"/>
        </w:rPr>
      </w:pPr>
      <w:r w:rsidRPr="005D6F2D">
        <w:rPr>
          <w:rStyle w:val="FootnoteReference"/>
          <w:sz w:val="16"/>
          <w:szCs w:val="16"/>
        </w:rPr>
        <w:footnoteRef/>
      </w:r>
      <w:r w:rsidRPr="005D6F2D">
        <w:rPr>
          <w:rFonts w:cs="HelveticaNeue-Light"/>
          <w:sz w:val="16"/>
          <w:szCs w:val="16"/>
        </w:rPr>
        <w:t xml:space="preserve"> Op cit</w:t>
      </w:r>
      <w:r>
        <w:rPr>
          <w:rFonts w:cs="HelveticaNeue-Light"/>
          <w:sz w:val="16"/>
          <w:szCs w:val="16"/>
        </w:rPr>
        <w:t>.,</w:t>
      </w:r>
      <w:r w:rsidRPr="005D6F2D">
        <w:rPr>
          <w:rFonts w:cs="HelveticaNeue-Light"/>
          <w:sz w:val="16"/>
          <w:szCs w:val="16"/>
        </w:rPr>
        <w:t xml:space="preserve"> p.10</w:t>
      </w:r>
    </w:p>
  </w:footnote>
  <w:footnote w:id="52">
    <w:p w14:paraId="28280EFB" w14:textId="6FC10FA8" w:rsidR="00862D82" w:rsidRPr="005D6F2D" w:rsidRDefault="00862D82" w:rsidP="003A4DC5">
      <w:pPr>
        <w:pStyle w:val="FootnoteText"/>
        <w:contextualSpacing/>
        <w:rPr>
          <w:sz w:val="16"/>
          <w:szCs w:val="16"/>
        </w:rPr>
      </w:pPr>
      <w:r w:rsidRPr="005D6F2D">
        <w:rPr>
          <w:rStyle w:val="FootnoteReference"/>
          <w:sz w:val="16"/>
          <w:szCs w:val="16"/>
        </w:rPr>
        <w:footnoteRef/>
      </w:r>
      <w:r w:rsidRPr="005D6F2D">
        <w:rPr>
          <w:sz w:val="16"/>
          <w:szCs w:val="16"/>
        </w:rPr>
        <w:t xml:space="preserve"> Note: the Programme for a Partnership Government proposed an allocation of a minimum €6.75 billion to capital expenditure by 2021, relative to 2016; following Budget 2017, the actual additional allocation was €7bn.</w:t>
      </w:r>
    </w:p>
  </w:footnote>
  <w:footnote w:id="53">
    <w:p w14:paraId="138A9543" w14:textId="4C36509B" w:rsidR="00862D82" w:rsidRPr="00844E6D" w:rsidRDefault="00862D82" w:rsidP="003A4DC5">
      <w:pPr>
        <w:pStyle w:val="FootnoteText"/>
        <w:contextualSpacing/>
        <w:rPr>
          <w:sz w:val="16"/>
          <w:szCs w:val="16"/>
        </w:rPr>
      </w:pPr>
      <w:r w:rsidRPr="00844E6D">
        <w:rPr>
          <w:rStyle w:val="FootnoteReference"/>
          <w:sz w:val="16"/>
          <w:szCs w:val="16"/>
        </w:rPr>
        <w:footnoteRef/>
      </w:r>
      <w:r w:rsidRPr="00844E6D">
        <w:rPr>
          <w:sz w:val="16"/>
          <w:szCs w:val="16"/>
        </w:rPr>
        <w:t xml:space="preserve"> </w:t>
      </w:r>
      <w:hyperlink r:id="rId19" w:history="1">
        <w:r w:rsidRPr="008C2699">
          <w:rPr>
            <w:rStyle w:val="Hyperlink"/>
            <w:sz w:val="16"/>
            <w:szCs w:val="16"/>
          </w:rPr>
          <w:t>http://ec.europa.eu/eurostat/tgm/table.do?tab=table&amp;init=1&amp;language=en&amp;pcode=teina210&amp;plugin=1</w:t>
        </w:r>
      </w:hyperlink>
    </w:p>
  </w:footnote>
  <w:footnote w:id="54">
    <w:p w14:paraId="54C6848B" w14:textId="77777777" w:rsidR="00862D82" w:rsidRPr="00BC34A6" w:rsidRDefault="00862D82" w:rsidP="00A9382D">
      <w:pPr>
        <w:pStyle w:val="FootnoteText"/>
        <w:contextualSpacing/>
        <w:rPr>
          <w:sz w:val="16"/>
          <w:szCs w:val="16"/>
        </w:rPr>
      </w:pPr>
      <w:r w:rsidRPr="00BC34A6">
        <w:rPr>
          <w:rStyle w:val="FootnoteReference"/>
          <w:sz w:val="16"/>
          <w:szCs w:val="16"/>
        </w:rPr>
        <w:footnoteRef/>
      </w:r>
      <w:r w:rsidRPr="00BC34A6">
        <w:rPr>
          <w:sz w:val="16"/>
          <w:szCs w:val="16"/>
        </w:rPr>
        <w:t xml:space="preserve"> </w:t>
      </w:r>
      <w:r w:rsidRPr="00BC34A6">
        <w:rPr>
          <w:rFonts w:cs="Arial"/>
          <w:sz w:val="16"/>
          <w:szCs w:val="16"/>
          <w:shd w:val="clear" w:color="auto" w:fill="FFFFFF"/>
        </w:rPr>
        <w:t>General government gross fixed capital formation (ESA 2010 code P.51g) consists of resident producers' acquisitions, less disposals of fixed assets during a given period plus certain additions to the value of non-produced assets realised by the productive activity of government producer or units. Fixed assets are produced assets used in production for more than one year (</w:t>
      </w:r>
      <w:r w:rsidRPr="00BC34A6">
        <w:rPr>
          <w:rFonts w:cs="Arial"/>
          <w:i/>
          <w:sz w:val="16"/>
          <w:szCs w:val="16"/>
          <w:shd w:val="clear" w:color="auto" w:fill="FFFFFF"/>
        </w:rPr>
        <w:t xml:space="preserve">Eurostat </w:t>
      </w:r>
      <w:r w:rsidRPr="00BC34A6">
        <w:rPr>
          <w:rFonts w:cs="Arial"/>
          <w:sz w:val="16"/>
          <w:szCs w:val="16"/>
          <w:shd w:val="clear" w:color="auto" w:fill="FFFFFF"/>
        </w:rPr>
        <w:t>website).</w:t>
      </w:r>
    </w:p>
  </w:footnote>
  <w:footnote w:id="55">
    <w:p w14:paraId="0D6AE2F9" w14:textId="77777777" w:rsidR="00862D82" w:rsidRPr="00BC34A6" w:rsidRDefault="00862D82" w:rsidP="00A9382D">
      <w:pPr>
        <w:pStyle w:val="FootnoteText"/>
        <w:contextualSpacing/>
        <w:rPr>
          <w:sz w:val="16"/>
          <w:szCs w:val="16"/>
        </w:rPr>
      </w:pPr>
      <w:r w:rsidRPr="00BC34A6">
        <w:rPr>
          <w:rStyle w:val="FootnoteReference"/>
          <w:sz w:val="16"/>
          <w:szCs w:val="16"/>
        </w:rPr>
        <w:footnoteRef/>
      </w:r>
      <w:r w:rsidRPr="00BC34A6">
        <w:rPr>
          <w:sz w:val="16"/>
          <w:szCs w:val="16"/>
        </w:rPr>
        <w:t xml:space="preserve">General Government Fixed Investment: Annual Data, Eurostat (2016), </w:t>
      </w:r>
    </w:p>
    <w:p w14:paraId="626A5D9C" w14:textId="5D9DD4B5" w:rsidR="00862D82" w:rsidRPr="00BC34A6" w:rsidRDefault="00DB2739" w:rsidP="00A9382D">
      <w:pPr>
        <w:pStyle w:val="FootnoteText"/>
        <w:contextualSpacing/>
        <w:rPr>
          <w:sz w:val="16"/>
          <w:szCs w:val="16"/>
        </w:rPr>
      </w:pPr>
      <w:hyperlink r:id="rId20" w:history="1">
        <w:r w:rsidR="00862D82" w:rsidRPr="00BC34A6">
          <w:rPr>
            <w:rStyle w:val="Hyperlink"/>
            <w:sz w:val="16"/>
            <w:szCs w:val="16"/>
          </w:rPr>
          <w:t>http://ec.europa.eu/eurostat/web/products-datasets/-/teina210</w:t>
        </w:r>
      </w:hyperlink>
    </w:p>
  </w:footnote>
  <w:footnote w:id="56">
    <w:p w14:paraId="22631455" w14:textId="07C8BD48" w:rsidR="00862D82" w:rsidRPr="00844E6D" w:rsidRDefault="00862D82" w:rsidP="003A4DC5">
      <w:pPr>
        <w:pStyle w:val="Default"/>
        <w:contextualSpacing/>
        <w:jc w:val="both"/>
        <w:rPr>
          <w:rFonts w:asciiTheme="minorHAnsi" w:hAnsiTheme="minorHAnsi"/>
          <w:color w:val="auto"/>
          <w:sz w:val="16"/>
          <w:szCs w:val="16"/>
        </w:rPr>
      </w:pPr>
      <w:r w:rsidRPr="00844E6D">
        <w:rPr>
          <w:rStyle w:val="FootnoteReference"/>
          <w:rFonts w:asciiTheme="minorHAnsi" w:hAnsiTheme="minorHAnsi"/>
          <w:color w:val="auto"/>
          <w:sz w:val="16"/>
          <w:szCs w:val="16"/>
        </w:rPr>
        <w:footnoteRef/>
      </w:r>
      <w:r w:rsidRPr="00844E6D">
        <w:rPr>
          <w:rFonts w:asciiTheme="minorHAnsi" w:hAnsiTheme="minorHAnsi"/>
          <w:color w:val="auto"/>
          <w:sz w:val="16"/>
          <w:szCs w:val="16"/>
        </w:rPr>
        <w:t xml:space="preserve"> Op </w:t>
      </w:r>
      <w:r>
        <w:rPr>
          <w:rFonts w:asciiTheme="minorHAnsi" w:hAnsiTheme="minorHAnsi"/>
          <w:color w:val="auto"/>
          <w:sz w:val="16"/>
          <w:szCs w:val="16"/>
        </w:rPr>
        <w:t>c</w:t>
      </w:r>
      <w:r w:rsidRPr="00844E6D">
        <w:rPr>
          <w:rFonts w:asciiTheme="minorHAnsi" w:hAnsiTheme="minorHAnsi"/>
          <w:color w:val="auto"/>
          <w:sz w:val="16"/>
          <w:szCs w:val="16"/>
        </w:rPr>
        <w:t xml:space="preserve">it., </w:t>
      </w:r>
      <w:r w:rsidRPr="00844E6D">
        <w:rPr>
          <w:rStyle w:val="A0"/>
          <w:rFonts w:asciiTheme="minorHAnsi" w:hAnsiTheme="minorHAnsi"/>
          <w:i/>
          <w:color w:val="auto"/>
          <w:sz w:val="16"/>
          <w:szCs w:val="16"/>
        </w:rPr>
        <w:t>Civil Engineering Contractors Association</w:t>
      </w:r>
      <w:r w:rsidRPr="00844E6D">
        <w:rPr>
          <w:rStyle w:val="A0"/>
          <w:rFonts w:asciiTheme="minorHAnsi" w:hAnsiTheme="minorHAnsi" w:cs="Myriad Pro"/>
          <w:color w:val="auto"/>
          <w:sz w:val="16"/>
          <w:szCs w:val="16"/>
        </w:rPr>
        <w:t>, p.5</w:t>
      </w:r>
    </w:p>
  </w:footnote>
  <w:footnote w:id="57">
    <w:p w14:paraId="6C586C63" w14:textId="004772AC" w:rsidR="00862D82" w:rsidRPr="005D6F2D" w:rsidRDefault="00862D82" w:rsidP="005F0DF8">
      <w:pPr>
        <w:pStyle w:val="FootnoteText"/>
        <w:rPr>
          <w:sz w:val="16"/>
          <w:szCs w:val="16"/>
        </w:rPr>
      </w:pPr>
      <w:r w:rsidRPr="005D6F2D">
        <w:rPr>
          <w:rStyle w:val="FootnoteReference"/>
          <w:sz w:val="16"/>
          <w:szCs w:val="16"/>
        </w:rPr>
        <w:footnoteRef/>
      </w:r>
      <w:r w:rsidRPr="005D6F2D">
        <w:rPr>
          <w:sz w:val="16"/>
          <w:szCs w:val="16"/>
        </w:rPr>
        <w:t xml:space="preserve"> </w:t>
      </w:r>
      <w:hyperlink r:id="rId21" w:history="1">
        <w:r w:rsidRPr="005D6F2D">
          <w:rPr>
            <w:rStyle w:val="Hyperlink"/>
            <w:sz w:val="16"/>
            <w:szCs w:val="16"/>
          </w:rPr>
          <w:t>http://www.education.ie/en/Press-Events/Press-Releases/2016-Press-Releases/PR16-11-03.html</w:t>
        </w:r>
      </w:hyperlink>
    </w:p>
  </w:footnote>
  <w:footnote w:id="58">
    <w:p w14:paraId="5C607894" w14:textId="750DF37C" w:rsidR="00862D82" w:rsidRPr="00D91E46" w:rsidRDefault="00862D82" w:rsidP="00D91E46">
      <w:pPr>
        <w:pStyle w:val="FootnoteText"/>
        <w:rPr>
          <w:sz w:val="16"/>
          <w:szCs w:val="16"/>
        </w:rPr>
      </w:pPr>
      <w:r w:rsidRPr="005D6F2D">
        <w:rPr>
          <w:rStyle w:val="FootnoteReference"/>
          <w:sz w:val="16"/>
          <w:szCs w:val="16"/>
        </w:rPr>
        <w:footnoteRef/>
      </w:r>
      <w:r w:rsidRPr="005D6F2D">
        <w:rPr>
          <w:sz w:val="16"/>
          <w:szCs w:val="16"/>
        </w:rPr>
        <w:t xml:space="preserve"> Presentation from the Department of Education and Skills at the Government Construction Projects and Capital </w:t>
      </w:r>
      <w:r w:rsidRPr="00D91E46">
        <w:rPr>
          <w:sz w:val="16"/>
          <w:szCs w:val="16"/>
        </w:rPr>
        <w:t>Spend Conference, February 2017.</w:t>
      </w:r>
    </w:p>
  </w:footnote>
  <w:footnote w:id="59">
    <w:p w14:paraId="77962CDB" w14:textId="42178948" w:rsidR="00862D82" w:rsidRPr="00D91E46" w:rsidRDefault="00862D82" w:rsidP="00D91E46">
      <w:pPr>
        <w:widowControl w:val="0"/>
        <w:spacing w:line="240" w:lineRule="auto"/>
        <w:rPr>
          <w:sz w:val="16"/>
          <w:szCs w:val="16"/>
        </w:rPr>
      </w:pPr>
      <w:r w:rsidRPr="00D91E46">
        <w:rPr>
          <w:rStyle w:val="FootnoteReference"/>
          <w:sz w:val="16"/>
          <w:szCs w:val="16"/>
        </w:rPr>
        <w:footnoteRef/>
      </w:r>
      <w:r w:rsidRPr="00D91E46">
        <w:rPr>
          <w:sz w:val="16"/>
          <w:szCs w:val="16"/>
        </w:rPr>
        <w:t xml:space="preserve"> </w:t>
      </w:r>
      <w:r w:rsidRPr="00D91E46">
        <w:rPr>
          <w:rFonts w:cs="Arial"/>
          <w:sz w:val="16"/>
          <w:szCs w:val="16"/>
        </w:rPr>
        <w:t>The current investment priorities for Health are provided in Appendix 2.</w:t>
      </w:r>
    </w:p>
  </w:footnote>
  <w:footnote w:id="60">
    <w:p w14:paraId="2396FFDD" w14:textId="272513B5" w:rsidR="00862D82" w:rsidRPr="00BC34A6" w:rsidRDefault="00862D82" w:rsidP="00BC34A6">
      <w:pPr>
        <w:pStyle w:val="FootnoteText"/>
        <w:rPr>
          <w:sz w:val="16"/>
          <w:szCs w:val="16"/>
        </w:rPr>
      </w:pPr>
      <w:r w:rsidRPr="00BC34A6">
        <w:rPr>
          <w:rStyle w:val="FootnoteReference"/>
          <w:sz w:val="16"/>
          <w:szCs w:val="16"/>
        </w:rPr>
        <w:footnoteRef/>
      </w:r>
      <w:r w:rsidRPr="00BC34A6">
        <w:rPr>
          <w:sz w:val="16"/>
          <w:szCs w:val="16"/>
        </w:rPr>
        <w:t xml:space="preserve"> Presentation by the </w:t>
      </w:r>
      <w:r w:rsidRPr="00BC34A6">
        <w:rPr>
          <w:rFonts w:eastAsiaTheme="minorHAnsi"/>
          <w:bCs/>
          <w:sz w:val="16"/>
          <w:szCs w:val="16"/>
          <w:lang w:eastAsia="en-US"/>
        </w:rPr>
        <w:t xml:space="preserve">Assistant National Director of Capital and Property in the HSE </w:t>
      </w:r>
      <w:r w:rsidRPr="00BC34A6">
        <w:rPr>
          <w:sz w:val="16"/>
          <w:szCs w:val="16"/>
        </w:rPr>
        <w:t>at the Government Construction Projects and Capital Spend Conference, February 2017.</w:t>
      </w:r>
    </w:p>
  </w:footnote>
  <w:footnote w:id="61">
    <w:p w14:paraId="09A3DADF" w14:textId="0245FE1A" w:rsidR="00862D82" w:rsidRPr="00BC34A6" w:rsidRDefault="00862D82" w:rsidP="00BC34A6">
      <w:pPr>
        <w:pStyle w:val="FootnoteText"/>
        <w:contextualSpacing/>
        <w:rPr>
          <w:sz w:val="16"/>
          <w:szCs w:val="16"/>
        </w:rPr>
      </w:pPr>
      <w:r w:rsidRPr="00BC34A6">
        <w:rPr>
          <w:rStyle w:val="FootnoteReference"/>
          <w:sz w:val="16"/>
          <w:szCs w:val="16"/>
        </w:rPr>
        <w:footnoteRef/>
      </w:r>
      <w:r w:rsidRPr="00BC34A6">
        <w:rPr>
          <w:sz w:val="16"/>
          <w:szCs w:val="16"/>
        </w:rPr>
        <w:t xml:space="preserve"> Refers to the Exchequer allocation for the Department of the Environment, Community &amp; Local Government.</w:t>
      </w:r>
    </w:p>
  </w:footnote>
  <w:footnote w:id="62">
    <w:p w14:paraId="6E104000" w14:textId="5471BDE6" w:rsidR="00862D82" w:rsidRPr="00BC34A6" w:rsidRDefault="00862D82" w:rsidP="00BC34A6">
      <w:pPr>
        <w:pStyle w:val="FootnoteText"/>
        <w:contextualSpacing/>
        <w:rPr>
          <w:sz w:val="16"/>
          <w:szCs w:val="16"/>
        </w:rPr>
      </w:pPr>
      <w:r w:rsidRPr="00BC34A6">
        <w:rPr>
          <w:rStyle w:val="FootnoteReference"/>
          <w:sz w:val="16"/>
          <w:szCs w:val="16"/>
        </w:rPr>
        <w:footnoteRef/>
      </w:r>
      <w:r w:rsidRPr="00BC34A6">
        <w:rPr>
          <w:sz w:val="16"/>
          <w:szCs w:val="16"/>
        </w:rPr>
        <w:t xml:space="preserve"> </w:t>
      </w:r>
      <w:r w:rsidRPr="00BC34A6">
        <w:rPr>
          <w:i/>
          <w:sz w:val="16"/>
          <w:szCs w:val="16"/>
        </w:rPr>
        <w:t>Revised Estimates 2017</w:t>
      </w:r>
      <w:r w:rsidRPr="00BC34A6">
        <w:rPr>
          <w:sz w:val="16"/>
          <w:szCs w:val="16"/>
        </w:rPr>
        <w:t>, Appendix 9.</w:t>
      </w:r>
    </w:p>
  </w:footnote>
  <w:footnote w:id="63">
    <w:p w14:paraId="5DFAD102" w14:textId="0E772E6B" w:rsidR="00862D82" w:rsidRPr="008D7F83" w:rsidRDefault="00862D82" w:rsidP="008D7F83">
      <w:pPr>
        <w:autoSpaceDE w:val="0"/>
        <w:autoSpaceDN w:val="0"/>
        <w:adjustRightInd w:val="0"/>
        <w:spacing w:line="240" w:lineRule="auto"/>
        <w:rPr>
          <w:sz w:val="16"/>
          <w:szCs w:val="16"/>
        </w:rPr>
      </w:pPr>
      <w:r w:rsidRPr="008D7F83">
        <w:rPr>
          <w:rStyle w:val="FootnoteReference"/>
          <w:sz w:val="16"/>
          <w:szCs w:val="16"/>
        </w:rPr>
        <w:footnoteRef/>
      </w:r>
      <w:r w:rsidRPr="008D7F83">
        <w:rPr>
          <w:sz w:val="16"/>
          <w:szCs w:val="16"/>
        </w:rPr>
        <w:t xml:space="preserve"> </w:t>
      </w:r>
      <w:r w:rsidRPr="008D7F83">
        <w:rPr>
          <w:rFonts w:cs="HelveticaNeue-Light"/>
          <w:sz w:val="16"/>
          <w:szCs w:val="16"/>
        </w:rPr>
        <w:t>Appendix 3 lists the pipeline of national road projects, according to the DTT&amp;S.</w:t>
      </w:r>
    </w:p>
  </w:footnote>
  <w:footnote w:id="64">
    <w:p w14:paraId="6D15E2BB" w14:textId="1D300B9A" w:rsidR="00862D82" w:rsidRPr="006E0F31" w:rsidRDefault="00862D82" w:rsidP="006E0F31">
      <w:pPr>
        <w:autoSpaceDE w:val="0"/>
        <w:autoSpaceDN w:val="0"/>
        <w:adjustRightInd w:val="0"/>
        <w:spacing w:line="240" w:lineRule="auto"/>
        <w:rPr>
          <w:sz w:val="16"/>
          <w:szCs w:val="16"/>
        </w:rPr>
      </w:pPr>
      <w:r w:rsidRPr="006E0F31">
        <w:rPr>
          <w:rStyle w:val="FootnoteReference"/>
          <w:sz w:val="16"/>
          <w:szCs w:val="16"/>
        </w:rPr>
        <w:footnoteRef/>
      </w:r>
      <w:r w:rsidRPr="006E0F31">
        <w:rPr>
          <w:sz w:val="16"/>
          <w:szCs w:val="16"/>
        </w:rPr>
        <w:t xml:space="preserve"> </w:t>
      </w:r>
      <w:r w:rsidRPr="006E0F31">
        <w:rPr>
          <w:rFonts w:cs="HelveticaNeue-Light"/>
          <w:sz w:val="16"/>
          <w:szCs w:val="16"/>
        </w:rPr>
        <w:t>Appendix 3 lists the pipeline of public transport projects, according to the DTT&amp;S.</w:t>
      </w:r>
    </w:p>
  </w:footnote>
  <w:footnote w:id="65">
    <w:p w14:paraId="0B863068" w14:textId="575E5CF8" w:rsidR="00862D82" w:rsidRPr="006E0F31" w:rsidRDefault="00862D82" w:rsidP="006E0F31">
      <w:pPr>
        <w:pStyle w:val="FootnoteText"/>
        <w:contextualSpacing/>
        <w:rPr>
          <w:sz w:val="16"/>
          <w:szCs w:val="16"/>
        </w:rPr>
      </w:pPr>
      <w:r w:rsidRPr="006E0F31">
        <w:rPr>
          <w:rStyle w:val="FootnoteReference"/>
          <w:sz w:val="16"/>
          <w:szCs w:val="16"/>
        </w:rPr>
        <w:footnoteRef/>
      </w:r>
      <w:r w:rsidRPr="006E0F31">
        <w:rPr>
          <w:sz w:val="16"/>
          <w:szCs w:val="16"/>
        </w:rPr>
        <w:t xml:space="preserve"> </w:t>
      </w:r>
      <w:r w:rsidRPr="006E0F31">
        <w:rPr>
          <w:i/>
          <w:sz w:val="16"/>
          <w:szCs w:val="16"/>
        </w:rPr>
        <w:t>Revised Estimates for Public Services 2017</w:t>
      </w:r>
      <w:r w:rsidRPr="006E0F31">
        <w:rPr>
          <w:sz w:val="16"/>
          <w:szCs w:val="16"/>
        </w:rPr>
        <w:t>, Appendix 9.</w:t>
      </w:r>
    </w:p>
  </w:footnote>
  <w:footnote w:id="66">
    <w:p w14:paraId="1E4F26DC" w14:textId="3D7071FC" w:rsidR="00862D82" w:rsidRPr="006E0F31" w:rsidRDefault="00862D82" w:rsidP="006E0F31">
      <w:pPr>
        <w:pStyle w:val="FootnoteText"/>
        <w:contextualSpacing/>
        <w:rPr>
          <w:sz w:val="16"/>
          <w:szCs w:val="16"/>
        </w:rPr>
      </w:pPr>
      <w:r w:rsidRPr="006E0F31">
        <w:rPr>
          <w:rStyle w:val="FootnoteReference"/>
          <w:sz w:val="16"/>
          <w:szCs w:val="16"/>
        </w:rPr>
        <w:footnoteRef/>
      </w:r>
      <w:r w:rsidRPr="006E0F31">
        <w:rPr>
          <w:sz w:val="16"/>
          <w:szCs w:val="16"/>
        </w:rPr>
        <w:t xml:space="preserve"> </w:t>
      </w:r>
      <w:r w:rsidRPr="006E0F31">
        <w:rPr>
          <w:i/>
          <w:sz w:val="16"/>
          <w:szCs w:val="16"/>
        </w:rPr>
        <w:t>Summer Economic Statement</w:t>
      </w:r>
      <w:r w:rsidRPr="006E0F31">
        <w:rPr>
          <w:sz w:val="16"/>
          <w:szCs w:val="16"/>
        </w:rPr>
        <w:t>, Department of Finance (June 2016), p.15. See Appendix 4 in this submission for the factors that influence the calculation of the Fiscal Space.</w:t>
      </w:r>
    </w:p>
  </w:footnote>
  <w:footnote w:id="67">
    <w:p w14:paraId="1D202176" w14:textId="7D5461ED" w:rsidR="00862D82" w:rsidRPr="006E0F31" w:rsidRDefault="00862D82" w:rsidP="006E0F31">
      <w:pPr>
        <w:pStyle w:val="FootnoteText"/>
        <w:rPr>
          <w:sz w:val="16"/>
          <w:szCs w:val="16"/>
        </w:rPr>
      </w:pPr>
      <w:r w:rsidRPr="006E0F31">
        <w:rPr>
          <w:rStyle w:val="FootnoteReference"/>
          <w:sz w:val="16"/>
          <w:szCs w:val="16"/>
        </w:rPr>
        <w:footnoteRef/>
      </w:r>
      <w:r w:rsidRPr="006E0F31">
        <w:rPr>
          <w:sz w:val="16"/>
          <w:szCs w:val="16"/>
        </w:rPr>
        <w:t xml:space="preserve"> Of this €5.14 billion, €2.2 billion has been allocated to housing with the balance of €2.65 billion to be allocated in the mid-term review of the Capital Plan.</w:t>
      </w:r>
    </w:p>
  </w:footnote>
  <w:footnote w:id="68">
    <w:p w14:paraId="5D928024" w14:textId="77777777" w:rsidR="00862D82" w:rsidRPr="006E0F31" w:rsidRDefault="00862D82" w:rsidP="00AE7D30">
      <w:pPr>
        <w:pStyle w:val="FootnoteText"/>
        <w:contextualSpacing/>
        <w:rPr>
          <w:sz w:val="16"/>
          <w:szCs w:val="16"/>
        </w:rPr>
      </w:pPr>
      <w:r w:rsidRPr="006E0F31">
        <w:rPr>
          <w:rStyle w:val="FootnoteReference"/>
          <w:sz w:val="16"/>
          <w:szCs w:val="16"/>
        </w:rPr>
        <w:footnoteRef/>
      </w:r>
      <w:r w:rsidRPr="006E0F31">
        <w:rPr>
          <w:sz w:val="16"/>
          <w:szCs w:val="16"/>
        </w:rPr>
        <w:t xml:space="preserve"> </w:t>
      </w:r>
      <w:r w:rsidRPr="006E0F31">
        <w:rPr>
          <w:rFonts w:cs="HelveticaNeue-Light"/>
          <w:sz w:val="16"/>
          <w:szCs w:val="16"/>
        </w:rPr>
        <w:t xml:space="preserve">Refers to expenditure allocated as part of the Gross Voted Capital baseline; identified in the </w:t>
      </w:r>
      <w:r w:rsidRPr="006E0F31">
        <w:rPr>
          <w:rFonts w:cs="HelveticaNeue-Light"/>
          <w:i/>
          <w:sz w:val="16"/>
          <w:szCs w:val="16"/>
        </w:rPr>
        <w:t xml:space="preserve">Mid-Year Expenditure Report 2016, </w:t>
      </w:r>
      <w:r w:rsidRPr="006E0F31">
        <w:rPr>
          <w:rFonts w:cs="HelveticaNeue-Light"/>
          <w:sz w:val="16"/>
          <w:szCs w:val="16"/>
        </w:rPr>
        <w:t>p.i.</w:t>
      </w:r>
    </w:p>
  </w:footnote>
  <w:footnote w:id="69">
    <w:p w14:paraId="3BF5E2D2" w14:textId="497C6A73" w:rsidR="00862D82" w:rsidRPr="00844E6D" w:rsidRDefault="00862D82" w:rsidP="00AE7D30">
      <w:pPr>
        <w:pStyle w:val="FootnoteText"/>
        <w:contextualSpacing/>
        <w:jc w:val="left"/>
        <w:rPr>
          <w:sz w:val="16"/>
          <w:szCs w:val="16"/>
        </w:rPr>
      </w:pPr>
      <w:r w:rsidRPr="006E0F31">
        <w:rPr>
          <w:rStyle w:val="FootnoteReference"/>
          <w:sz w:val="16"/>
          <w:szCs w:val="16"/>
        </w:rPr>
        <w:footnoteRef/>
      </w:r>
      <w:r w:rsidRPr="006E0F31">
        <w:rPr>
          <w:sz w:val="16"/>
          <w:szCs w:val="16"/>
        </w:rPr>
        <w:t xml:space="preserve"> </w:t>
      </w:r>
      <w:r w:rsidRPr="006E0F31">
        <w:rPr>
          <w:i/>
          <w:sz w:val="16"/>
          <w:szCs w:val="16"/>
        </w:rPr>
        <w:t xml:space="preserve">Budget 2017, </w:t>
      </w:r>
      <w:r w:rsidRPr="006E0F31">
        <w:rPr>
          <w:sz w:val="16"/>
          <w:szCs w:val="16"/>
        </w:rPr>
        <w:t xml:space="preserve">Department of Finance (October 2016), </w:t>
      </w:r>
      <w:hyperlink r:id="rId22" w:history="1">
        <w:r w:rsidRPr="006E0F31">
          <w:rPr>
            <w:rStyle w:val="Hyperlink"/>
            <w:sz w:val="16"/>
            <w:szCs w:val="16"/>
          </w:rPr>
          <w:t>http://www.budget.gov.ie/Budgets/2017/Documents/SES/Fiscal%20space%20and%20the%20Summer%20Economic%20Statement.pdf</w:t>
        </w:r>
      </w:hyperlink>
    </w:p>
  </w:footnote>
  <w:footnote w:id="70">
    <w:p w14:paraId="4751661F" w14:textId="77777777" w:rsidR="00862D82" w:rsidRPr="005D6F2D" w:rsidRDefault="00862D82" w:rsidP="00EE07B5">
      <w:pPr>
        <w:pStyle w:val="FootnoteText"/>
        <w:contextualSpacing/>
        <w:rPr>
          <w:sz w:val="16"/>
          <w:szCs w:val="16"/>
        </w:rPr>
      </w:pPr>
      <w:r w:rsidRPr="005D6F2D">
        <w:rPr>
          <w:rStyle w:val="FootnoteReference"/>
          <w:sz w:val="16"/>
          <w:szCs w:val="16"/>
        </w:rPr>
        <w:footnoteRef/>
      </w:r>
      <w:r w:rsidRPr="005D6F2D">
        <w:rPr>
          <w:sz w:val="16"/>
          <w:szCs w:val="16"/>
        </w:rPr>
        <w:t xml:space="preserve"> </w:t>
      </w:r>
      <w:r w:rsidRPr="005D6F2D">
        <w:rPr>
          <w:rFonts w:cs="HelveticaNeue-Light"/>
          <w:sz w:val="16"/>
          <w:szCs w:val="16"/>
        </w:rPr>
        <w:t xml:space="preserve">He argued: </w:t>
      </w:r>
      <w:r w:rsidRPr="005D6F2D">
        <w:rPr>
          <w:rFonts w:cs="Arial"/>
          <w:sz w:val="16"/>
          <w:szCs w:val="16"/>
        </w:rPr>
        <w:t>“the structural deficit is probably the hardest thing for macroeconomists to calculate. Essentially, to even begin to calculate it, one has to come to a judgment on the extent to which the economy is overheating. One also has to calculate what the output gap is and whether it is positive or negative. The Commission's methodology is pro-cyclical. The reason for that is because it overly emphasises recent unemployment rates.” (Tom McDonnell, attendance before Oireachtas CBO, September 2016)</w:t>
      </w:r>
    </w:p>
  </w:footnote>
  <w:footnote w:id="71">
    <w:p w14:paraId="44E9D62A" w14:textId="168F7ED4" w:rsidR="00862D82" w:rsidRPr="005D6F2D" w:rsidRDefault="00862D82" w:rsidP="00EE07B5">
      <w:pPr>
        <w:pStyle w:val="FootnoteText"/>
        <w:contextualSpacing/>
        <w:rPr>
          <w:sz w:val="16"/>
          <w:szCs w:val="16"/>
        </w:rPr>
      </w:pPr>
      <w:r w:rsidRPr="005D6F2D">
        <w:rPr>
          <w:rStyle w:val="FootnoteReference"/>
          <w:sz w:val="16"/>
          <w:szCs w:val="16"/>
        </w:rPr>
        <w:footnoteRef/>
      </w:r>
      <w:r w:rsidRPr="005D6F2D">
        <w:rPr>
          <w:sz w:val="16"/>
          <w:szCs w:val="16"/>
        </w:rPr>
        <w:t xml:space="preserve"> </w:t>
      </w:r>
      <w:r w:rsidRPr="005D6F2D">
        <w:rPr>
          <w:rStyle w:val="Strong"/>
          <w:rFonts w:cs="Lucida Sans Unicode"/>
          <w:b w:val="0"/>
          <w:sz w:val="16"/>
          <w:szCs w:val="16"/>
          <w:bdr w:val="none" w:sz="0" w:space="0" w:color="auto" w:frame="1"/>
          <w:shd w:val="clear" w:color="auto" w:fill="FFFFFF"/>
        </w:rPr>
        <w:t>Making The Best Use Of The Flexibility Within The Existing Rules Of The Stability And Growth Pact</w:t>
      </w:r>
      <w:r w:rsidRPr="005D6F2D">
        <w:rPr>
          <w:sz w:val="16"/>
          <w:szCs w:val="16"/>
        </w:rPr>
        <w:t xml:space="preserve">, </w:t>
      </w:r>
      <w:r w:rsidRPr="005D6F2D">
        <w:rPr>
          <w:rStyle w:val="Strong"/>
          <w:rFonts w:cs="Lucida Sans Unicode"/>
          <w:b w:val="0"/>
          <w:sz w:val="16"/>
          <w:szCs w:val="16"/>
          <w:bdr w:val="none" w:sz="0" w:space="0" w:color="auto" w:frame="1"/>
          <w:shd w:val="clear" w:color="auto" w:fill="FFFFFF"/>
        </w:rPr>
        <w:t xml:space="preserve">Communication from the Commission to the European Parliament, the Council, the European Central Bank, the Economic and Social Committee, the Committee of the Regions and the European Investment Bank ( December 2015), </w:t>
      </w:r>
      <w:hyperlink r:id="rId23" w:history="1">
        <w:r w:rsidRPr="005D6F2D">
          <w:rPr>
            <w:rStyle w:val="Hyperlink"/>
            <w:sz w:val="16"/>
            <w:szCs w:val="16"/>
          </w:rPr>
          <w:t>http://eur-lex.europa.eu/legal-content/en/TXT/?uri=CELEX:52015DC0012</w:t>
        </w:r>
      </w:hyperlink>
    </w:p>
  </w:footnote>
  <w:footnote w:id="72">
    <w:p w14:paraId="393CBD24" w14:textId="4CE5C5C5" w:rsidR="00862D82" w:rsidRPr="00C76BE1" w:rsidRDefault="00862D82" w:rsidP="00AE7D30">
      <w:pPr>
        <w:pStyle w:val="FootnoteText"/>
        <w:contextualSpacing/>
        <w:rPr>
          <w:sz w:val="16"/>
          <w:szCs w:val="16"/>
        </w:rPr>
      </w:pPr>
      <w:r w:rsidRPr="00C76BE1">
        <w:rPr>
          <w:rStyle w:val="FootnoteReference"/>
          <w:sz w:val="16"/>
          <w:szCs w:val="16"/>
        </w:rPr>
        <w:footnoteRef/>
      </w:r>
      <w:hyperlink r:id="rId24" w:history="1">
        <w:r w:rsidRPr="00C76BE1">
          <w:rPr>
            <w:rStyle w:val="Hyperlink"/>
            <w:sz w:val="16"/>
            <w:szCs w:val="16"/>
          </w:rPr>
          <w:t>http://www.thelocal.it/20160518/renzi-claims-victory-as-eu-gives-italy-more-budget-rules</w:t>
        </w:r>
      </w:hyperlink>
    </w:p>
  </w:footnote>
  <w:footnote w:id="73">
    <w:p w14:paraId="79E51F06" w14:textId="25E0E3BF" w:rsidR="00862D82" w:rsidRPr="00C76BE1" w:rsidRDefault="00862D82" w:rsidP="00AE7D30">
      <w:pPr>
        <w:pStyle w:val="FootnoteText"/>
        <w:contextualSpacing/>
        <w:rPr>
          <w:sz w:val="16"/>
          <w:szCs w:val="16"/>
        </w:rPr>
      </w:pPr>
      <w:r w:rsidRPr="00C76BE1">
        <w:rPr>
          <w:rStyle w:val="FootnoteReference"/>
          <w:sz w:val="16"/>
          <w:szCs w:val="16"/>
        </w:rPr>
        <w:footnoteRef/>
      </w:r>
      <w:r w:rsidRPr="00C76BE1">
        <w:rPr>
          <w:sz w:val="16"/>
          <w:szCs w:val="16"/>
        </w:rPr>
        <w:t xml:space="preserve"> </w:t>
      </w:r>
      <w:hyperlink r:id="rId25" w:history="1">
        <w:r w:rsidRPr="00C76BE1">
          <w:rPr>
            <w:rStyle w:val="Hyperlink"/>
            <w:sz w:val="16"/>
            <w:szCs w:val="16"/>
          </w:rPr>
          <w:t>http://europa.eu/rapid/press-release_IP-16-3664_en.htm</w:t>
        </w:r>
      </w:hyperlink>
      <w:r w:rsidRPr="00C76BE1">
        <w:rPr>
          <w:sz w:val="16"/>
          <w:szCs w:val="16"/>
        </w:rPr>
        <w:t xml:space="preserve"> (November 2016)</w:t>
      </w:r>
    </w:p>
  </w:footnote>
  <w:footnote w:id="74">
    <w:p w14:paraId="63EFFE02" w14:textId="77777777" w:rsidR="00862D82" w:rsidRPr="00C76BE1" w:rsidRDefault="00862D82" w:rsidP="00471C6D">
      <w:pPr>
        <w:pStyle w:val="FootnoteText"/>
        <w:rPr>
          <w:sz w:val="16"/>
          <w:szCs w:val="16"/>
        </w:rPr>
      </w:pPr>
      <w:r w:rsidRPr="00C76BE1">
        <w:rPr>
          <w:rStyle w:val="FootnoteReference"/>
          <w:sz w:val="16"/>
          <w:szCs w:val="16"/>
        </w:rPr>
        <w:footnoteRef/>
      </w:r>
      <w:r w:rsidRPr="00C76BE1">
        <w:rPr>
          <w:sz w:val="16"/>
          <w:szCs w:val="16"/>
        </w:rPr>
        <w:t xml:space="preserve"> European Movement Conference: Investing in Ireland’s Infrastructure, Mr. Andrew McDowell, Vice President EIB, 30</w:t>
      </w:r>
      <w:r w:rsidRPr="00C76BE1">
        <w:rPr>
          <w:sz w:val="16"/>
          <w:szCs w:val="16"/>
          <w:vertAlign w:val="superscript"/>
        </w:rPr>
        <w:t>th</w:t>
      </w:r>
      <w:r w:rsidRPr="00C76BE1">
        <w:rPr>
          <w:sz w:val="16"/>
          <w:szCs w:val="16"/>
        </w:rPr>
        <w:t xml:space="preserve"> September 2016. </w:t>
      </w:r>
    </w:p>
  </w:footnote>
  <w:footnote w:id="75">
    <w:p w14:paraId="3A4984F5" w14:textId="55E60B1E" w:rsidR="00862D82" w:rsidRPr="00C76BE1" w:rsidRDefault="00862D82">
      <w:pPr>
        <w:pStyle w:val="FootnoteText"/>
        <w:rPr>
          <w:sz w:val="16"/>
          <w:szCs w:val="16"/>
        </w:rPr>
      </w:pPr>
      <w:r w:rsidRPr="00C76BE1">
        <w:rPr>
          <w:rStyle w:val="FootnoteReference"/>
          <w:sz w:val="16"/>
          <w:szCs w:val="16"/>
        </w:rPr>
        <w:footnoteRef/>
      </w:r>
      <w:r w:rsidRPr="00C76BE1">
        <w:rPr>
          <w:sz w:val="16"/>
          <w:szCs w:val="16"/>
        </w:rPr>
        <w:t xml:space="preserve"> </w:t>
      </w:r>
      <w:hyperlink r:id="rId26" w:history="1">
        <w:r w:rsidRPr="00C76BE1">
          <w:rPr>
            <w:rStyle w:val="Hyperlink"/>
            <w:sz w:val="16"/>
            <w:szCs w:val="16"/>
          </w:rPr>
          <w:t>https://www.rte.ie/news/business/2016/1209/837631-european-investment-bank-dublin/</w:t>
        </w:r>
      </w:hyperlink>
    </w:p>
  </w:footnote>
  <w:footnote w:id="76">
    <w:p w14:paraId="7CB8D752" w14:textId="77777777" w:rsidR="00862D82" w:rsidRPr="00844E6D" w:rsidRDefault="00862D82" w:rsidP="00AE7D30">
      <w:pPr>
        <w:pStyle w:val="FootnoteText"/>
        <w:contextualSpacing/>
        <w:rPr>
          <w:sz w:val="16"/>
          <w:szCs w:val="16"/>
        </w:rPr>
      </w:pPr>
      <w:r w:rsidRPr="00844E6D">
        <w:rPr>
          <w:rStyle w:val="FootnoteReference"/>
          <w:sz w:val="16"/>
          <w:szCs w:val="16"/>
        </w:rPr>
        <w:footnoteRef/>
      </w:r>
      <w:r w:rsidRPr="00844E6D">
        <w:rPr>
          <w:sz w:val="16"/>
          <w:szCs w:val="16"/>
        </w:rPr>
        <w:t xml:space="preserve"> Under the </w:t>
      </w:r>
      <w:r w:rsidRPr="00844E6D">
        <w:rPr>
          <w:i/>
          <w:sz w:val="16"/>
          <w:szCs w:val="16"/>
        </w:rPr>
        <w:t>NTMA (Amendment) Act, 2014</w:t>
      </w:r>
    </w:p>
  </w:footnote>
  <w:footnote w:id="77">
    <w:p w14:paraId="5A295807" w14:textId="77777777" w:rsidR="00862D82" w:rsidRPr="00844E6D" w:rsidRDefault="00862D82" w:rsidP="00AE7D30">
      <w:pPr>
        <w:pStyle w:val="FootnoteText"/>
        <w:contextualSpacing/>
        <w:rPr>
          <w:sz w:val="16"/>
          <w:szCs w:val="16"/>
        </w:rPr>
      </w:pPr>
      <w:r w:rsidRPr="00844E6D">
        <w:rPr>
          <w:rStyle w:val="FootnoteReference"/>
          <w:sz w:val="16"/>
          <w:szCs w:val="16"/>
        </w:rPr>
        <w:footnoteRef/>
      </w:r>
      <w:r w:rsidRPr="00844E6D">
        <w:rPr>
          <w:sz w:val="16"/>
          <w:szCs w:val="16"/>
        </w:rPr>
        <w:t xml:space="preserve"> All made at the discretion of the Minister for Finance.</w:t>
      </w:r>
    </w:p>
  </w:footnote>
  <w:footnote w:id="78">
    <w:p w14:paraId="5B3327BA" w14:textId="4F87D34C" w:rsidR="00862D82" w:rsidRPr="00844E6D" w:rsidRDefault="00862D82" w:rsidP="00C773B0">
      <w:pPr>
        <w:pStyle w:val="FootnoteText"/>
        <w:contextualSpacing/>
        <w:jc w:val="left"/>
        <w:rPr>
          <w:sz w:val="16"/>
          <w:szCs w:val="16"/>
        </w:rPr>
      </w:pPr>
      <w:r w:rsidRPr="00844E6D">
        <w:rPr>
          <w:rStyle w:val="FootnoteReference"/>
          <w:sz w:val="16"/>
          <w:szCs w:val="16"/>
        </w:rPr>
        <w:footnoteRef/>
      </w:r>
      <w:r w:rsidRPr="00844E6D">
        <w:rPr>
          <w:sz w:val="16"/>
          <w:szCs w:val="16"/>
        </w:rPr>
        <w:t xml:space="preserve"> O</w:t>
      </w:r>
      <w:r>
        <w:rPr>
          <w:sz w:val="16"/>
          <w:szCs w:val="16"/>
        </w:rPr>
        <w:t>p cit</w:t>
      </w:r>
      <w:r w:rsidRPr="00844E6D">
        <w:rPr>
          <w:sz w:val="16"/>
          <w:szCs w:val="16"/>
        </w:rPr>
        <w:t>., p.7</w:t>
      </w:r>
    </w:p>
  </w:footnote>
  <w:footnote w:id="79">
    <w:p w14:paraId="76CCA634" w14:textId="311844F1" w:rsidR="00862D82" w:rsidRPr="00844E6D" w:rsidRDefault="00862D82" w:rsidP="00AE7D30">
      <w:pPr>
        <w:pStyle w:val="FootnoteText"/>
        <w:contextualSpacing/>
        <w:rPr>
          <w:sz w:val="16"/>
          <w:szCs w:val="16"/>
        </w:rPr>
      </w:pPr>
      <w:r w:rsidRPr="00844E6D">
        <w:rPr>
          <w:rStyle w:val="FootnoteReference"/>
          <w:sz w:val="16"/>
          <w:szCs w:val="16"/>
        </w:rPr>
        <w:footnoteRef/>
      </w:r>
      <w:r w:rsidRPr="00844E6D">
        <w:rPr>
          <w:sz w:val="16"/>
          <w:szCs w:val="16"/>
        </w:rPr>
        <w:t xml:space="preserve"> Op </w:t>
      </w:r>
      <w:r>
        <w:rPr>
          <w:sz w:val="16"/>
          <w:szCs w:val="16"/>
        </w:rPr>
        <w:t>c</w:t>
      </w:r>
      <w:r w:rsidRPr="00844E6D">
        <w:rPr>
          <w:sz w:val="16"/>
          <w:szCs w:val="16"/>
        </w:rPr>
        <w:t xml:space="preserve">it., </w:t>
      </w:r>
      <w:r w:rsidRPr="00844E6D">
        <w:rPr>
          <w:i/>
          <w:sz w:val="16"/>
          <w:szCs w:val="16"/>
        </w:rPr>
        <w:t xml:space="preserve">Revised Estimates, </w:t>
      </w:r>
      <w:r w:rsidRPr="00844E6D">
        <w:rPr>
          <w:sz w:val="16"/>
          <w:szCs w:val="16"/>
        </w:rPr>
        <w:t>p.7;</w:t>
      </w:r>
      <w:r w:rsidRPr="00844E6D">
        <w:rPr>
          <w:i/>
          <w:sz w:val="16"/>
          <w:szCs w:val="16"/>
        </w:rPr>
        <w:t xml:space="preserve"> </w:t>
      </w:r>
      <w:hyperlink r:id="rId27" w:history="1">
        <w:r w:rsidRPr="008C2699">
          <w:rPr>
            <w:rStyle w:val="Hyperlink"/>
            <w:sz w:val="16"/>
            <w:szCs w:val="16"/>
          </w:rPr>
          <w:t>http://budget.gov.ie/Budgets/2017/Documents/White_Paper_2017_final.pdf</w:t>
        </w:r>
      </w:hyperlink>
    </w:p>
  </w:footnote>
  <w:footnote w:id="80">
    <w:p w14:paraId="3834F9FE" w14:textId="183C4677" w:rsidR="00862D82" w:rsidRPr="00844E6D" w:rsidRDefault="00862D82" w:rsidP="00AE7D30">
      <w:pPr>
        <w:pStyle w:val="FootnoteText"/>
        <w:contextualSpacing/>
        <w:rPr>
          <w:sz w:val="16"/>
          <w:szCs w:val="16"/>
        </w:rPr>
      </w:pPr>
      <w:r w:rsidRPr="00844E6D">
        <w:rPr>
          <w:rStyle w:val="FootnoteReference"/>
          <w:sz w:val="16"/>
          <w:szCs w:val="16"/>
        </w:rPr>
        <w:footnoteRef/>
      </w:r>
      <w:r w:rsidRPr="00844E6D">
        <w:rPr>
          <w:sz w:val="16"/>
          <w:szCs w:val="16"/>
        </w:rPr>
        <w:t xml:space="preserve"> </w:t>
      </w:r>
      <w:hyperlink r:id="rId28" w:history="1">
        <w:r w:rsidRPr="008C2699">
          <w:rPr>
            <w:rStyle w:val="Hyperlink"/>
            <w:sz w:val="16"/>
            <w:szCs w:val="16"/>
          </w:rPr>
          <w:t>http://www.rte.ie/news/business/2017/0302/856568-aib-annual-results/</w:t>
        </w:r>
      </w:hyperlink>
    </w:p>
  </w:footnote>
  <w:footnote w:id="81">
    <w:p w14:paraId="3A2A539B" w14:textId="77777777" w:rsidR="00862D82" w:rsidRPr="00CC39A6" w:rsidRDefault="00862D82" w:rsidP="004360F5">
      <w:pPr>
        <w:pStyle w:val="FootnoteText"/>
        <w:rPr>
          <w:sz w:val="16"/>
          <w:szCs w:val="16"/>
        </w:rPr>
      </w:pPr>
      <w:r w:rsidRPr="00CC39A6">
        <w:rPr>
          <w:rStyle w:val="FootnoteReference"/>
          <w:sz w:val="16"/>
          <w:szCs w:val="16"/>
        </w:rPr>
        <w:footnoteRef/>
      </w:r>
      <w:r w:rsidRPr="00CC39A6">
        <w:rPr>
          <w:sz w:val="16"/>
          <w:szCs w:val="16"/>
        </w:rPr>
        <w:t xml:space="preserve"> Presentation from the </w:t>
      </w:r>
      <w:r w:rsidRPr="00CC39A6">
        <w:rPr>
          <w:rFonts w:eastAsiaTheme="minorHAnsi"/>
          <w:bCs/>
          <w:sz w:val="16"/>
          <w:szCs w:val="16"/>
          <w:lang w:eastAsia="en-US"/>
        </w:rPr>
        <w:t xml:space="preserve">Department of Transport, Tourism and Sport </w:t>
      </w:r>
      <w:r w:rsidRPr="00CC39A6">
        <w:rPr>
          <w:sz w:val="16"/>
          <w:szCs w:val="16"/>
        </w:rPr>
        <w:t>at the Government Construction Projects and Capital Spend Conference, February 2017.</w:t>
      </w:r>
    </w:p>
    <w:p w14:paraId="04D636CE" w14:textId="77777777" w:rsidR="00862D82" w:rsidRDefault="00862D82" w:rsidP="004360F5">
      <w:pPr>
        <w:pStyle w:val="FootnoteText"/>
      </w:pPr>
    </w:p>
  </w:footnote>
  <w:footnote w:id="82">
    <w:p w14:paraId="2866A460" w14:textId="77777777" w:rsidR="00862D82" w:rsidRPr="005D6F2D" w:rsidRDefault="00862D82" w:rsidP="00EA0453">
      <w:pPr>
        <w:pStyle w:val="FootnoteText"/>
        <w:contextualSpacing/>
        <w:rPr>
          <w:sz w:val="16"/>
          <w:szCs w:val="16"/>
        </w:rPr>
      </w:pPr>
      <w:r w:rsidRPr="0035447D">
        <w:rPr>
          <w:rStyle w:val="FootnoteReference"/>
          <w:sz w:val="16"/>
          <w:szCs w:val="16"/>
        </w:rPr>
        <w:footnoteRef/>
      </w:r>
      <w:r w:rsidRPr="0035447D">
        <w:rPr>
          <w:sz w:val="16"/>
          <w:szCs w:val="16"/>
        </w:rPr>
        <w:t xml:space="preserve"> </w:t>
      </w:r>
      <w:r w:rsidRPr="0035447D">
        <w:rPr>
          <w:i/>
          <w:sz w:val="16"/>
          <w:szCs w:val="16"/>
        </w:rPr>
        <w:t xml:space="preserve">Information Note on Fiscal Space 2017 – 2021, </w:t>
      </w:r>
      <w:r w:rsidRPr="0035447D">
        <w:rPr>
          <w:sz w:val="16"/>
          <w:szCs w:val="16"/>
        </w:rPr>
        <w:t>Department of Finance (February 2016),</w:t>
      </w:r>
      <w:r w:rsidRPr="005D6F2D">
        <w:rPr>
          <w:sz w:val="16"/>
          <w:szCs w:val="16"/>
        </w:rPr>
        <w:t xml:space="preserve">  </w:t>
      </w:r>
      <w:hyperlink r:id="rId29" w:history="1">
        <w:r w:rsidRPr="005D6F2D">
          <w:rPr>
            <w:rStyle w:val="Hyperlink"/>
            <w:sz w:val="16"/>
            <w:szCs w:val="16"/>
          </w:rPr>
          <w:t>http://www.finance.gov.ie/sites/default/files/Information%20Note%20on%20Fiscal%20Space%202017%20fin.pdf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1344" w14:textId="529B4F8D" w:rsidR="00862D82" w:rsidRDefault="00E7663E" w:rsidP="007B66D5">
    <w:pPr>
      <w:pStyle w:val="Header"/>
      <w:jc w:val="right"/>
    </w:pPr>
    <w:r>
      <w:rPr>
        <w:noProof/>
      </w:rPr>
      <mc:AlternateContent>
        <mc:Choice Requires="wps">
          <w:drawing>
            <wp:anchor distT="0" distB="0" distL="114300" distR="114300" simplePos="0" relativeHeight="251679744" behindDoc="0" locked="0" layoutInCell="1" allowOverlap="1" wp14:anchorId="2B47B2B5" wp14:editId="067208A5">
              <wp:simplePos x="0" y="0"/>
              <wp:positionH relativeFrom="column">
                <wp:posOffset>-400078</wp:posOffset>
              </wp:positionH>
              <wp:positionV relativeFrom="paragraph">
                <wp:posOffset>749907</wp:posOffset>
              </wp:positionV>
              <wp:extent cx="5231958" cy="7951"/>
              <wp:effectExtent l="0" t="0" r="26035" b="30480"/>
              <wp:wrapNone/>
              <wp:docPr id="22" name="Straight Connector 22"/>
              <wp:cNvGraphicFramePr/>
              <a:graphic xmlns:a="http://schemas.openxmlformats.org/drawingml/2006/main">
                <a:graphicData uri="http://schemas.microsoft.com/office/word/2010/wordprocessingShape">
                  <wps:wsp>
                    <wps:cNvCnPr/>
                    <wps:spPr>
                      <a:xfrm>
                        <a:off x="0" y="0"/>
                        <a:ext cx="5231958"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E1A3E"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5pt,59.05pt" to="380.4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" strokecolor="#4579b8 [3044]"/>
          </w:pict>
        </mc:Fallback>
      </mc:AlternateContent>
    </w:r>
    <w:r w:rsidR="00862D82">
      <w:rPr>
        <w:noProof/>
      </w:rPr>
      <mc:AlternateContent>
        <mc:Choice Requires="wps">
          <w:drawing>
            <wp:anchor distT="0" distB="0" distL="114300" distR="114300" simplePos="0" relativeHeight="251660288" behindDoc="0" locked="0" layoutInCell="1" allowOverlap="1" wp14:anchorId="0E63D05E" wp14:editId="225E68FF">
              <wp:simplePos x="0" y="0"/>
              <wp:positionH relativeFrom="column">
                <wp:posOffset>-103505</wp:posOffset>
              </wp:positionH>
              <wp:positionV relativeFrom="paragraph">
                <wp:posOffset>311785</wp:posOffset>
              </wp:positionV>
              <wp:extent cx="4041140" cy="261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252EF" w14:textId="77777777" w:rsidR="00862D82" w:rsidRPr="00686866" w:rsidRDefault="00862D82" w:rsidP="007B66D5">
                          <w:pPr>
                            <w:spacing w:line="240" w:lineRule="auto"/>
                            <w:rPr>
                              <w:b/>
                              <w:color w:val="005596"/>
                              <w:sz w:val="20"/>
                              <w:szCs w:val="20"/>
                            </w:rPr>
                          </w:pPr>
                          <w:r w:rsidRPr="00686866">
                            <w:rPr>
                              <w:b/>
                              <w:color w:val="005596"/>
                              <w:sz w:val="20"/>
                              <w:szCs w:val="20"/>
                            </w:rPr>
                            <w:t>CIF Submission to the Committee on Budgetary Oversight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3D05E" id="_x0000_t202" coordsize="21600,21600" o:spt="202" path="m,l,21600r21600,l21600,xe">
              <v:stroke joinstyle="miter"/>
              <v:path gradientshapeok="t" o:connecttype="rect"/>
            </v:shapetype>
            <v:shape id="Text Box 2" o:spid="_x0000_s1027" type="#_x0000_t202" style="position:absolute;left:0;text-align:left;margin-left:-8.15pt;margin-top:24.55pt;width:318.2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" stroked="f">
              <v:textbox>
                <w:txbxContent>
                  <w:p w14:paraId="04F252EF" w14:textId="77777777" w:rsidR="00862D82" w:rsidRPr="00686866" w:rsidRDefault="00862D82" w:rsidP="007B66D5">
                    <w:pPr>
                      <w:spacing w:line="240" w:lineRule="auto"/>
                      <w:rPr>
                        <w:b/>
                        <w:color w:val="005596"/>
                        <w:sz w:val="20"/>
                        <w:szCs w:val="20"/>
                      </w:rPr>
                    </w:pPr>
                    <w:r w:rsidRPr="00686866">
                      <w:rPr>
                        <w:b/>
                        <w:color w:val="005596"/>
                        <w:sz w:val="20"/>
                        <w:szCs w:val="20"/>
                      </w:rPr>
                      <w:t>CIF Submission to the Committee on Budgetary Oversight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05F5" w14:textId="6A7A7C9B" w:rsidR="00E7663E" w:rsidRDefault="00E7663E" w:rsidP="007B66D5">
    <w:pPr>
      <w:pStyle w:val="Header"/>
      <w:jc w:val="right"/>
    </w:pPr>
    <w:r>
      <w:rPr>
        <w:noProof/>
      </w:rPr>
      <mc:AlternateContent>
        <mc:Choice Requires="wps">
          <w:drawing>
            <wp:anchor distT="0" distB="0" distL="114300" distR="114300" simplePos="0" relativeHeight="251682816" behindDoc="0" locked="0" layoutInCell="1" allowOverlap="1" wp14:anchorId="087F1D9D" wp14:editId="6D331BC3">
              <wp:simplePos x="0" y="0"/>
              <wp:positionH relativeFrom="margin">
                <wp:posOffset>-691</wp:posOffset>
              </wp:positionH>
              <wp:positionV relativeFrom="paragraph">
                <wp:posOffset>287683</wp:posOffset>
              </wp:positionV>
              <wp:extent cx="4041140" cy="261620"/>
              <wp:effectExtent l="0" t="0" r="0" b="50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70160" w14:textId="77777777" w:rsidR="00E7663E" w:rsidRPr="00686866" w:rsidRDefault="00E7663E" w:rsidP="007B66D5">
                          <w:pPr>
                            <w:spacing w:line="240" w:lineRule="auto"/>
                            <w:rPr>
                              <w:b/>
                              <w:color w:val="005596"/>
                              <w:sz w:val="20"/>
                              <w:szCs w:val="20"/>
                            </w:rPr>
                          </w:pPr>
                          <w:r w:rsidRPr="00686866">
                            <w:rPr>
                              <w:b/>
                              <w:color w:val="005596"/>
                              <w:sz w:val="20"/>
                              <w:szCs w:val="20"/>
                            </w:rPr>
                            <w:t>CIF Submission to the Committee on Budgetary Oversight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F1D9D" id="_x0000_t202" coordsize="21600,21600" o:spt="202" path="m,l,21600r21600,l21600,xe">
              <v:stroke joinstyle="miter"/>
              <v:path gradientshapeok="t" o:connecttype="rect"/>
            </v:shapetype>
            <v:shape id="_x0000_s1028" type="#_x0000_t202" style="position:absolute;left:0;text-align:left;margin-left:-.05pt;margin-top:22.65pt;width:318.2pt;height:20.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zuhQ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" stroked="f">
              <v:textbox>
                <w:txbxContent>
                  <w:p w14:paraId="37170160" w14:textId="77777777" w:rsidR="00E7663E" w:rsidRPr="00686866" w:rsidRDefault="00E7663E" w:rsidP="007B66D5">
                    <w:pPr>
                      <w:spacing w:line="240" w:lineRule="auto"/>
                      <w:rPr>
                        <w:b/>
                        <w:color w:val="005596"/>
                        <w:sz w:val="20"/>
                        <w:szCs w:val="20"/>
                      </w:rPr>
                    </w:pPr>
                    <w:r w:rsidRPr="00686866">
                      <w:rPr>
                        <w:b/>
                        <w:color w:val="005596"/>
                        <w:sz w:val="20"/>
                        <w:szCs w:val="20"/>
                      </w:rPr>
                      <w:t>CIF Submission to the Committee on Budgetary Oversight</w:t>
                    </w: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68DC8967" wp14:editId="01C55F1B">
              <wp:simplePos x="0" y="0"/>
              <wp:positionH relativeFrom="column">
                <wp:posOffset>21065</wp:posOffset>
              </wp:positionH>
              <wp:positionV relativeFrom="paragraph">
                <wp:posOffset>797007</wp:posOffset>
              </wp:positionV>
              <wp:extent cx="5231958" cy="7951"/>
              <wp:effectExtent l="0" t="0" r="26035" b="30480"/>
              <wp:wrapNone/>
              <wp:docPr id="25" name="Straight Connector 25"/>
              <wp:cNvGraphicFramePr/>
              <a:graphic xmlns:a="http://schemas.openxmlformats.org/drawingml/2006/main">
                <a:graphicData uri="http://schemas.microsoft.com/office/word/2010/wordprocessingShape">
                  <wps:wsp>
                    <wps:cNvCnPr/>
                    <wps:spPr>
                      <a:xfrm>
                        <a:off x="0" y="0"/>
                        <a:ext cx="5231958"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3732B"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5pt,62.75pt" to="413.6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3B8"/>
    <w:multiLevelType w:val="hybridMultilevel"/>
    <w:tmpl w:val="1770907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8F4920"/>
    <w:multiLevelType w:val="hybridMultilevel"/>
    <w:tmpl w:val="0FE085B4"/>
    <w:lvl w:ilvl="0" w:tplc="F1C6FC6C">
      <w:start w:val="1"/>
      <w:numFmt w:val="bullet"/>
      <w:lvlText w:val="­"/>
      <w:lvlJc w:val="left"/>
      <w:pPr>
        <w:ind w:left="72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886C91"/>
    <w:multiLevelType w:val="hybridMultilevel"/>
    <w:tmpl w:val="B2F6F80A"/>
    <w:lvl w:ilvl="0" w:tplc="3EAE05C4">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B34428"/>
    <w:multiLevelType w:val="hybridMultilevel"/>
    <w:tmpl w:val="F6642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B51C3B"/>
    <w:multiLevelType w:val="hybridMultilevel"/>
    <w:tmpl w:val="5B5E9D4E"/>
    <w:lvl w:ilvl="0" w:tplc="F1C6FC6C">
      <w:start w:val="1"/>
      <w:numFmt w:val="bullet"/>
      <w:lvlText w:val="­"/>
      <w:lvlJc w:val="left"/>
      <w:pPr>
        <w:ind w:left="72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CC077B"/>
    <w:multiLevelType w:val="hybridMultilevel"/>
    <w:tmpl w:val="52DAD75C"/>
    <w:lvl w:ilvl="0" w:tplc="94200B18">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DC035A"/>
    <w:multiLevelType w:val="multilevel"/>
    <w:tmpl w:val="69D6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964E2"/>
    <w:multiLevelType w:val="hybridMultilevel"/>
    <w:tmpl w:val="DA32656E"/>
    <w:lvl w:ilvl="0" w:tplc="FAF2B6A2">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0F58DB"/>
    <w:multiLevelType w:val="hybridMultilevel"/>
    <w:tmpl w:val="67D4CEAC"/>
    <w:lvl w:ilvl="0" w:tplc="96523F78">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CA6A85"/>
    <w:multiLevelType w:val="hybridMultilevel"/>
    <w:tmpl w:val="CD4A37EA"/>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0" w15:restartNumberingAfterBreak="0">
    <w:nsid w:val="20911254"/>
    <w:multiLevelType w:val="hybridMultilevel"/>
    <w:tmpl w:val="88BAE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9023A"/>
    <w:multiLevelType w:val="hybridMultilevel"/>
    <w:tmpl w:val="3FF4D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51AB9"/>
    <w:multiLevelType w:val="hybridMultilevel"/>
    <w:tmpl w:val="B2EECE9A"/>
    <w:lvl w:ilvl="0" w:tplc="4BA6843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BD3DFE"/>
    <w:multiLevelType w:val="hybridMultilevel"/>
    <w:tmpl w:val="D5884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9D2CF7"/>
    <w:multiLevelType w:val="hybridMultilevel"/>
    <w:tmpl w:val="7E9CA8F2"/>
    <w:lvl w:ilvl="0" w:tplc="B402484A">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AA40F5E"/>
    <w:multiLevelType w:val="hybridMultilevel"/>
    <w:tmpl w:val="8F0898BE"/>
    <w:lvl w:ilvl="0" w:tplc="B402484A">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ADB4AE7"/>
    <w:multiLevelType w:val="hybridMultilevel"/>
    <w:tmpl w:val="7E9C9D84"/>
    <w:lvl w:ilvl="0" w:tplc="F1C6FC6C">
      <w:start w:val="1"/>
      <w:numFmt w:val="bullet"/>
      <w:lvlText w:val="­"/>
      <w:lvlJc w:val="left"/>
      <w:pPr>
        <w:ind w:left="72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B52ECD"/>
    <w:multiLevelType w:val="hybridMultilevel"/>
    <w:tmpl w:val="58703814"/>
    <w:lvl w:ilvl="0" w:tplc="B402484A">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844E0B"/>
    <w:multiLevelType w:val="hybridMultilevel"/>
    <w:tmpl w:val="7884DBC8"/>
    <w:lvl w:ilvl="0" w:tplc="789EC42A">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DC123C"/>
    <w:multiLevelType w:val="hybridMultilevel"/>
    <w:tmpl w:val="51BE3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4B2530"/>
    <w:multiLevelType w:val="hybridMultilevel"/>
    <w:tmpl w:val="A6383B1E"/>
    <w:lvl w:ilvl="0" w:tplc="F1C6FC6C">
      <w:start w:val="1"/>
      <w:numFmt w:val="bullet"/>
      <w:lvlText w:val="­"/>
      <w:lvlJc w:val="left"/>
      <w:pPr>
        <w:ind w:left="72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ECB2F1F"/>
    <w:multiLevelType w:val="hybridMultilevel"/>
    <w:tmpl w:val="F3686490"/>
    <w:lvl w:ilvl="0" w:tplc="F1C6FC6C">
      <w:start w:val="1"/>
      <w:numFmt w:val="bullet"/>
      <w:lvlText w:val="­"/>
      <w:lvlJc w:val="left"/>
      <w:pPr>
        <w:ind w:left="72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0B532FF"/>
    <w:multiLevelType w:val="hybridMultilevel"/>
    <w:tmpl w:val="5694E72E"/>
    <w:lvl w:ilvl="0" w:tplc="B94E5E80">
      <w:start w:val="1"/>
      <w:numFmt w:val="bullet"/>
      <w:lvlText w:val=""/>
      <w:lvlJc w:val="left"/>
      <w:pPr>
        <w:ind w:left="720" w:hanging="360"/>
      </w:pPr>
      <w:rPr>
        <w:rFonts w:ascii="Symbol" w:hAnsi="Symbol"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5C2A1B"/>
    <w:multiLevelType w:val="multilevel"/>
    <w:tmpl w:val="8EC20B2E"/>
    <w:styleLink w:val="Style2"/>
    <w:lvl w:ilvl="0">
      <w:start w:val="1"/>
      <w:numFmt w:val="decimal"/>
      <w:lvlText w:val="%1."/>
      <w:lvlJc w:val="left"/>
      <w:pPr>
        <w:ind w:left="0" w:hanging="851"/>
      </w:pPr>
      <w:rPr>
        <w:rFonts w:ascii="Calibri" w:hAnsi="Calibri" w:hint="default"/>
        <w:b/>
        <w:i w:val="0"/>
        <w:caps/>
        <w:color w:val="98002E"/>
        <w:sz w:val="36"/>
      </w:rPr>
    </w:lvl>
    <w:lvl w:ilvl="1">
      <w:start w:val="1"/>
      <w:numFmt w:val="decimal"/>
      <w:lvlText w:val="%1.%2"/>
      <w:lvlJc w:val="left"/>
      <w:pPr>
        <w:ind w:left="0" w:hanging="851"/>
      </w:pPr>
      <w:rPr>
        <w:rFonts w:ascii="Calibri" w:hAnsi="Calibri" w:hint="default"/>
        <w:b/>
        <w:i w:val="0"/>
        <w:caps w:val="0"/>
        <w:color w:val="005596"/>
        <w:sz w:val="26"/>
      </w:rPr>
    </w:lvl>
    <w:lvl w:ilvl="2">
      <w:start w:val="1"/>
      <w:numFmt w:val="decimal"/>
      <w:lvlText w:val="%1.%2.%3"/>
      <w:lvlJc w:val="left"/>
      <w:pPr>
        <w:ind w:left="113" w:hanging="113"/>
      </w:pPr>
      <w:rPr>
        <w:rFonts w:ascii="Calibri" w:hAnsi="Calibri" w:hint="default"/>
        <w:b/>
        <w:i w:val="0"/>
        <w:color w:val="005596"/>
        <w:sz w:val="22"/>
      </w:rPr>
    </w:lvl>
    <w:lvl w:ilvl="3">
      <w:start w:val="1"/>
      <w:numFmt w:val="decimal"/>
      <w:lvlRestart w:val="1"/>
      <w:suff w:val="space"/>
      <w:lvlText w:val="Figure %1.%4:"/>
      <w:lvlJc w:val="left"/>
      <w:pPr>
        <w:ind w:left="113" w:hanging="113"/>
      </w:pPr>
      <w:rPr>
        <w:rFonts w:ascii="Calibri" w:hAnsi="Calibri"/>
        <w:b/>
        <w:color w:val="98002E"/>
        <w:sz w:val="22"/>
      </w:rPr>
    </w:lvl>
    <w:lvl w:ilvl="4">
      <w:start w:val="1"/>
      <w:numFmt w:val="decimal"/>
      <w:lvlRestart w:val="1"/>
      <w:suff w:val="space"/>
      <w:lvlText w:val="Table %1.%5:"/>
      <w:lvlJc w:val="left"/>
      <w:pPr>
        <w:ind w:left="113" w:hanging="113"/>
      </w:pPr>
      <w:rPr>
        <w:rFonts w:ascii="Calibri" w:hAnsi="Calibri"/>
        <w:b/>
        <w:color w:val="98002E"/>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7514AE"/>
    <w:multiLevelType w:val="hybridMultilevel"/>
    <w:tmpl w:val="07E64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E442AB"/>
    <w:multiLevelType w:val="hybridMultilevel"/>
    <w:tmpl w:val="A78E9A04"/>
    <w:lvl w:ilvl="0" w:tplc="B402484A">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3D970C6"/>
    <w:multiLevelType w:val="hybridMultilevel"/>
    <w:tmpl w:val="63147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4D249F"/>
    <w:multiLevelType w:val="hybridMultilevel"/>
    <w:tmpl w:val="5FB88E4A"/>
    <w:lvl w:ilvl="0" w:tplc="F1C6FC6C">
      <w:start w:val="1"/>
      <w:numFmt w:val="bullet"/>
      <w:lvlText w:val="­"/>
      <w:lvlJc w:val="left"/>
      <w:pPr>
        <w:ind w:left="72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6433A5"/>
    <w:multiLevelType w:val="hybridMultilevel"/>
    <w:tmpl w:val="DFBA8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9917D4"/>
    <w:multiLevelType w:val="hybridMultilevel"/>
    <w:tmpl w:val="EA02052E"/>
    <w:lvl w:ilvl="0" w:tplc="278CA492">
      <w:start w:val="6"/>
      <w:numFmt w:val="bullet"/>
      <w:lvlText w:val="-"/>
      <w:lvlJc w:val="left"/>
      <w:pPr>
        <w:ind w:left="405" w:hanging="360"/>
      </w:pPr>
      <w:rPr>
        <w:rFonts w:ascii="Calibri" w:eastAsiaTheme="minorHAnsi" w:hAnsi="Calibri" w:cstheme="minorBid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30" w15:restartNumberingAfterBreak="0">
    <w:nsid w:val="59FE2D9A"/>
    <w:multiLevelType w:val="hybridMultilevel"/>
    <w:tmpl w:val="5E6E0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87099"/>
    <w:multiLevelType w:val="hybridMultilevel"/>
    <w:tmpl w:val="FB5EFEE4"/>
    <w:lvl w:ilvl="0" w:tplc="F1C6FC6C">
      <w:start w:val="1"/>
      <w:numFmt w:val="bullet"/>
      <w:lvlText w:val="­"/>
      <w:lvlJc w:val="left"/>
      <w:pPr>
        <w:ind w:left="72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4C762F3"/>
    <w:multiLevelType w:val="hybridMultilevel"/>
    <w:tmpl w:val="8244D8BE"/>
    <w:lvl w:ilvl="0" w:tplc="B402484A">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9BE74E1"/>
    <w:multiLevelType w:val="hybridMultilevel"/>
    <w:tmpl w:val="FD4841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6A730802"/>
    <w:multiLevelType w:val="hybridMultilevel"/>
    <w:tmpl w:val="D012B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C2C2A6E"/>
    <w:multiLevelType w:val="hybridMultilevel"/>
    <w:tmpl w:val="D05629A4"/>
    <w:lvl w:ilvl="0" w:tplc="F376B6E6">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D650F57"/>
    <w:multiLevelType w:val="hybridMultilevel"/>
    <w:tmpl w:val="4DD07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E2006F7"/>
    <w:multiLevelType w:val="hybridMultilevel"/>
    <w:tmpl w:val="B1F23F0A"/>
    <w:lvl w:ilvl="0" w:tplc="B402484A">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0D31917"/>
    <w:multiLevelType w:val="hybridMultilevel"/>
    <w:tmpl w:val="9E2ED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4C4FE5"/>
    <w:multiLevelType w:val="hybridMultilevel"/>
    <w:tmpl w:val="6FF2151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1B15146"/>
    <w:multiLevelType w:val="hybridMultilevel"/>
    <w:tmpl w:val="8818989C"/>
    <w:lvl w:ilvl="0" w:tplc="F1C6FC6C">
      <w:start w:val="1"/>
      <w:numFmt w:val="bullet"/>
      <w:lvlText w:val="­"/>
      <w:lvlJc w:val="left"/>
      <w:pPr>
        <w:ind w:left="72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493853"/>
    <w:multiLevelType w:val="hybridMultilevel"/>
    <w:tmpl w:val="907A3564"/>
    <w:lvl w:ilvl="0" w:tplc="B448A088">
      <w:start w:val="1"/>
      <w:numFmt w:val="decimal"/>
      <w:lvlText w:val="%1)"/>
      <w:lvlJc w:val="left"/>
      <w:pPr>
        <w:ind w:left="720" w:hanging="360"/>
      </w:pPr>
      <w:rPr>
        <w:rFonts w:hint="default"/>
        <w:b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8866F20"/>
    <w:multiLevelType w:val="multilevel"/>
    <w:tmpl w:val="A26EC272"/>
    <w:lvl w:ilvl="0">
      <w:start w:val="1"/>
      <w:numFmt w:val="decimal"/>
      <w:pStyle w:val="DKM1"/>
      <w:lvlText w:val="%1."/>
      <w:lvlJc w:val="left"/>
      <w:pPr>
        <w:ind w:left="0" w:hanging="851"/>
      </w:pPr>
      <w:rPr>
        <w:rFonts w:ascii="Calibri" w:hAnsi="Calibri" w:hint="default"/>
        <w:b/>
        <w:i w:val="0"/>
        <w:caps/>
        <w:color w:val="98002E"/>
        <w:sz w:val="36"/>
      </w:rPr>
    </w:lvl>
    <w:lvl w:ilvl="1">
      <w:start w:val="1"/>
      <w:numFmt w:val="decimal"/>
      <w:pStyle w:val="DKM2"/>
      <w:lvlText w:val="%1.%2"/>
      <w:lvlJc w:val="left"/>
      <w:pPr>
        <w:ind w:left="0" w:hanging="851"/>
      </w:pPr>
      <w:rPr>
        <w:rFonts w:ascii="Calibri" w:hAnsi="Calibri" w:hint="default"/>
        <w:b/>
        <w:i w:val="0"/>
        <w:caps w:val="0"/>
        <w:color w:val="005596"/>
        <w:sz w:val="26"/>
      </w:rPr>
    </w:lvl>
    <w:lvl w:ilvl="2">
      <w:start w:val="1"/>
      <w:numFmt w:val="decimal"/>
      <w:pStyle w:val="DKM3"/>
      <w:lvlText w:val="%1.%2.%3"/>
      <w:lvlJc w:val="left"/>
      <w:pPr>
        <w:ind w:left="113" w:hanging="113"/>
      </w:pPr>
      <w:rPr>
        <w:rFonts w:ascii="Calibri" w:hAnsi="Calibri" w:hint="default"/>
        <w:b/>
        <w:i w:val="0"/>
        <w:color w:val="005596"/>
        <w:sz w:val="22"/>
      </w:rPr>
    </w:lvl>
    <w:lvl w:ilvl="3">
      <w:start w:val="1"/>
      <w:numFmt w:val="decimal"/>
      <w:lvlRestart w:val="1"/>
      <w:pStyle w:val="DKMFigure"/>
      <w:suff w:val="space"/>
      <w:lvlText w:val="Figure %1.%4:"/>
      <w:lvlJc w:val="left"/>
      <w:pPr>
        <w:ind w:left="113" w:hanging="113"/>
      </w:pPr>
      <w:rPr>
        <w:rFonts w:ascii="Calibri" w:hAnsi="Calibri" w:hint="default"/>
        <w:b/>
        <w:i w:val="0"/>
        <w:color w:val="98002E"/>
        <w:sz w:val="22"/>
      </w:rPr>
    </w:lvl>
    <w:lvl w:ilvl="4">
      <w:start w:val="1"/>
      <w:numFmt w:val="decimal"/>
      <w:lvlRestart w:val="1"/>
      <w:pStyle w:val="DKMTable"/>
      <w:suff w:val="space"/>
      <w:lvlText w:val="Table %1.%5:"/>
      <w:lvlJc w:val="left"/>
      <w:pPr>
        <w:ind w:left="113" w:hanging="113"/>
      </w:pPr>
      <w:rPr>
        <w:rFonts w:ascii="Calibri" w:hAnsi="Calibri" w:hint="default"/>
        <w:b/>
        <w:i w:val="0"/>
        <w:color w:val="98002E"/>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523C3A"/>
    <w:multiLevelType w:val="hybridMultilevel"/>
    <w:tmpl w:val="7884DBC8"/>
    <w:lvl w:ilvl="0" w:tplc="789EC42A">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42"/>
  </w:num>
  <w:num w:numId="3">
    <w:abstractNumId w:val="24"/>
  </w:num>
  <w:num w:numId="4">
    <w:abstractNumId w:val="3"/>
  </w:num>
  <w:num w:numId="5">
    <w:abstractNumId w:val="6"/>
  </w:num>
  <w:num w:numId="6">
    <w:abstractNumId w:val="26"/>
  </w:num>
  <w:num w:numId="7">
    <w:abstractNumId w:val="34"/>
  </w:num>
  <w:num w:numId="8">
    <w:abstractNumId w:val="38"/>
  </w:num>
  <w:num w:numId="9">
    <w:abstractNumId w:val="13"/>
  </w:num>
  <w:num w:numId="10">
    <w:abstractNumId w:val="10"/>
  </w:num>
  <w:num w:numId="11">
    <w:abstractNumId w:val="19"/>
  </w:num>
  <w:num w:numId="12">
    <w:abstractNumId w:val="30"/>
  </w:num>
  <w:num w:numId="13">
    <w:abstractNumId w:val="36"/>
  </w:num>
  <w:num w:numId="14">
    <w:abstractNumId w:val="28"/>
  </w:num>
  <w:num w:numId="15">
    <w:abstractNumId w:val="33"/>
  </w:num>
  <w:num w:numId="16">
    <w:abstractNumId w:val="29"/>
  </w:num>
  <w:num w:numId="17">
    <w:abstractNumId w:val="21"/>
  </w:num>
  <w:num w:numId="18">
    <w:abstractNumId w:val="1"/>
  </w:num>
  <w:num w:numId="19">
    <w:abstractNumId w:val="27"/>
  </w:num>
  <w:num w:numId="20">
    <w:abstractNumId w:val="22"/>
  </w:num>
  <w:num w:numId="21">
    <w:abstractNumId w:val="31"/>
  </w:num>
  <w:num w:numId="22">
    <w:abstractNumId w:val="4"/>
  </w:num>
  <w:num w:numId="23">
    <w:abstractNumId w:val="16"/>
  </w:num>
  <w:num w:numId="24">
    <w:abstractNumId w:val="11"/>
  </w:num>
  <w:num w:numId="25">
    <w:abstractNumId w:val="18"/>
  </w:num>
  <w:num w:numId="26">
    <w:abstractNumId w:val="7"/>
  </w:num>
  <w:num w:numId="27">
    <w:abstractNumId w:val="12"/>
  </w:num>
  <w:num w:numId="28">
    <w:abstractNumId w:val="0"/>
  </w:num>
  <w:num w:numId="29">
    <w:abstractNumId w:val="39"/>
  </w:num>
  <w:num w:numId="30">
    <w:abstractNumId w:val="8"/>
  </w:num>
  <w:num w:numId="31">
    <w:abstractNumId w:val="42"/>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5"/>
  </w:num>
  <w:num w:numId="35">
    <w:abstractNumId w:val="2"/>
  </w:num>
  <w:num w:numId="36">
    <w:abstractNumId w:val="17"/>
  </w:num>
  <w:num w:numId="37">
    <w:abstractNumId w:val="40"/>
  </w:num>
  <w:num w:numId="38">
    <w:abstractNumId w:val="43"/>
  </w:num>
  <w:num w:numId="39">
    <w:abstractNumId w:val="15"/>
  </w:num>
  <w:num w:numId="40">
    <w:abstractNumId w:val="41"/>
  </w:num>
  <w:num w:numId="41">
    <w:abstractNumId w:val="14"/>
  </w:num>
  <w:num w:numId="42">
    <w:abstractNumId w:val="32"/>
  </w:num>
  <w:num w:numId="43">
    <w:abstractNumId w:val="37"/>
  </w:num>
  <w:num w:numId="44">
    <w:abstractNumId w:val="25"/>
  </w:num>
  <w:num w:numId="45">
    <w:abstractNumId w:val="9"/>
  </w:num>
  <w:num w:numId="4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o:colormru v:ext="edit" colors="#00559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FC"/>
    <w:rsid w:val="000178EC"/>
    <w:rsid w:val="0003381C"/>
    <w:rsid w:val="00035A2F"/>
    <w:rsid w:val="0003626B"/>
    <w:rsid w:val="000373A6"/>
    <w:rsid w:val="00037A53"/>
    <w:rsid w:val="00043292"/>
    <w:rsid w:val="0004621A"/>
    <w:rsid w:val="00054002"/>
    <w:rsid w:val="00064E55"/>
    <w:rsid w:val="00077040"/>
    <w:rsid w:val="00077C35"/>
    <w:rsid w:val="00090FC2"/>
    <w:rsid w:val="000A1AA4"/>
    <w:rsid w:val="000B14C5"/>
    <w:rsid w:val="000B1CDB"/>
    <w:rsid w:val="000B4E78"/>
    <w:rsid w:val="000C7AA7"/>
    <w:rsid w:val="000D0336"/>
    <w:rsid w:val="000D07F7"/>
    <w:rsid w:val="000D2D68"/>
    <w:rsid w:val="000D4537"/>
    <w:rsid w:val="000D5160"/>
    <w:rsid w:val="000D7C96"/>
    <w:rsid w:val="000E07BA"/>
    <w:rsid w:val="000E627D"/>
    <w:rsid w:val="000F1227"/>
    <w:rsid w:val="000F1F31"/>
    <w:rsid w:val="000F68B2"/>
    <w:rsid w:val="00101AF5"/>
    <w:rsid w:val="001028B8"/>
    <w:rsid w:val="00105F6F"/>
    <w:rsid w:val="00120047"/>
    <w:rsid w:val="00120C7B"/>
    <w:rsid w:val="00130C77"/>
    <w:rsid w:val="00132D86"/>
    <w:rsid w:val="0013556E"/>
    <w:rsid w:val="00135B88"/>
    <w:rsid w:val="00146F21"/>
    <w:rsid w:val="001504CE"/>
    <w:rsid w:val="001544B0"/>
    <w:rsid w:val="001637F0"/>
    <w:rsid w:val="00164DEA"/>
    <w:rsid w:val="00170AB3"/>
    <w:rsid w:val="001740EA"/>
    <w:rsid w:val="00174CF5"/>
    <w:rsid w:val="001A2F04"/>
    <w:rsid w:val="001A376E"/>
    <w:rsid w:val="001B3397"/>
    <w:rsid w:val="001B3A08"/>
    <w:rsid w:val="001B4C39"/>
    <w:rsid w:val="001B7CCD"/>
    <w:rsid w:val="001D10D9"/>
    <w:rsid w:val="001D1193"/>
    <w:rsid w:val="001D4A08"/>
    <w:rsid w:val="001D529B"/>
    <w:rsid w:val="001E1CBA"/>
    <w:rsid w:val="001E76DE"/>
    <w:rsid w:val="001E7ED1"/>
    <w:rsid w:val="001F5B0E"/>
    <w:rsid w:val="001F5D5F"/>
    <w:rsid w:val="001F7146"/>
    <w:rsid w:val="0020283C"/>
    <w:rsid w:val="00204D97"/>
    <w:rsid w:val="00207A13"/>
    <w:rsid w:val="00210AB4"/>
    <w:rsid w:val="00224917"/>
    <w:rsid w:val="0022558B"/>
    <w:rsid w:val="00231A13"/>
    <w:rsid w:val="00234791"/>
    <w:rsid w:val="00240A3C"/>
    <w:rsid w:val="00254D18"/>
    <w:rsid w:val="002617C5"/>
    <w:rsid w:val="00262075"/>
    <w:rsid w:val="00262638"/>
    <w:rsid w:val="00263149"/>
    <w:rsid w:val="00263E1E"/>
    <w:rsid w:val="002658E7"/>
    <w:rsid w:val="00280931"/>
    <w:rsid w:val="00280F6D"/>
    <w:rsid w:val="00287835"/>
    <w:rsid w:val="002910D2"/>
    <w:rsid w:val="002A022F"/>
    <w:rsid w:val="002C4D3D"/>
    <w:rsid w:val="002E5493"/>
    <w:rsid w:val="002F054E"/>
    <w:rsid w:val="002F20D2"/>
    <w:rsid w:val="002F4391"/>
    <w:rsid w:val="002F4F45"/>
    <w:rsid w:val="002F56E2"/>
    <w:rsid w:val="002F7CF5"/>
    <w:rsid w:val="00310DD1"/>
    <w:rsid w:val="003151BE"/>
    <w:rsid w:val="003172A3"/>
    <w:rsid w:val="003228D4"/>
    <w:rsid w:val="00323AC7"/>
    <w:rsid w:val="00324B46"/>
    <w:rsid w:val="00332037"/>
    <w:rsid w:val="003326B4"/>
    <w:rsid w:val="003350E6"/>
    <w:rsid w:val="003371F8"/>
    <w:rsid w:val="00337BB7"/>
    <w:rsid w:val="00342825"/>
    <w:rsid w:val="0035080E"/>
    <w:rsid w:val="0035447D"/>
    <w:rsid w:val="003562AC"/>
    <w:rsid w:val="003576E4"/>
    <w:rsid w:val="0036113A"/>
    <w:rsid w:val="003626FC"/>
    <w:rsid w:val="003758A9"/>
    <w:rsid w:val="00375F94"/>
    <w:rsid w:val="0039496C"/>
    <w:rsid w:val="00397B87"/>
    <w:rsid w:val="003A4DC5"/>
    <w:rsid w:val="003B0EFC"/>
    <w:rsid w:val="003B5385"/>
    <w:rsid w:val="003C1DA3"/>
    <w:rsid w:val="003D0B1B"/>
    <w:rsid w:val="003D3EAD"/>
    <w:rsid w:val="003D53EB"/>
    <w:rsid w:val="003D65CF"/>
    <w:rsid w:val="003E67E9"/>
    <w:rsid w:val="003F4769"/>
    <w:rsid w:val="003F606B"/>
    <w:rsid w:val="00404842"/>
    <w:rsid w:val="004057AA"/>
    <w:rsid w:val="00407ED7"/>
    <w:rsid w:val="004108C7"/>
    <w:rsid w:val="004161BE"/>
    <w:rsid w:val="0041733F"/>
    <w:rsid w:val="00417529"/>
    <w:rsid w:val="004207C7"/>
    <w:rsid w:val="0043028A"/>
    <w:rsid w:val="00430C0B"/>
    <w:rsid w:val="00432142"/>
    <w:rsid w:val="00435239"/>
    <w:rsid w:val="004360F5"/>
    <w:rsid w:val="0044579A"/>
    <w:rsid w:val="0045500A"/>
    <w:rsid w:val="004606D7"/>
    <w:rsid w:val="00461A6B"/>
    <w:rsid w:val="00471C6D"/>
    <w:rsid w:val="00473810"/>
    <w:rsid w:val="00473A1E"/>
    <w:rsid w:val="00476E57"/>
    <w:rsid w:val="0047745C"/>
    <w:rsid w:val="00485057"/>
    <w:rsid w:val="004865D4"/>
    <w:rsid w:val="004876D9"/>
    <w:rsid w:val="004938EF"/>
    <w:rsid w:val="004947CE"/>
    <w:rsid w:val="004957E8"/>
    <w:rsid w:val="00497FF4"/>
    <w:rsid w:val="004A2565"/>
    <w:rsid w:val="004A4D17"/>
    <w:rsid w:val="004B0BE2"/>
    <w:rsid w:val="004B19FD"/>
    <w:rsid w:val="004B408A"/>
    <w:rsid w:val="004B6C8F"/>
    <w:rsid w:val="004B7CC9"/>
    <w:rsid w:val="004D64B4"/>
    <w:rsid w:val="004E0F9F"/>
    <w:rsid w:val="004E3D98"/>
    <w:rsid w:val="004F7442"/>
    <w:rsid w:val="0050397C"/>
    <w:rsid w:val="00507AB7"/>
    <w:rsid w:val="00513210"/>
    <w:rsid w:val="0051478F"/>
    <w:rsid w:val="00514BAD"/>
    <w:rsid w:val="00532D51"/>
    <w:rsid w:val="00540A8F"/>
    <w:rsid w:val="00541C1C"/>
    <w:rsid w:val="00544432"/>
    <w:rsid w:val="00550316"/>
    <w:rsid w:val="00563B1B"/>
    <w:rsid w:val="00564FA6"/>
    <w:rsid w:val="005701A8"/>
    <w:rsid w:val="005713E3"/>
    <w:rsid w:val="00582EDA"/>
    <w:rsid w:val="00587075"/>
    <w:rsid w:val="005915A5"/>
    <w:rsid w:val="00594380"/>
    <w:rsid w:val="00595644"/>
    <w:rsid w:val="00597437"/>
    <w:rsid w:val="005A57C7"/>
    <w:rsid w:val="005B2437"/>
    <w:rsid w:val="005B3534"/>
    <w:rsid w:val="005B79FC"/>
    <w:rsid w:val="005C0A38"/>
    <w:rsid w:val="005C1EBE"/>
    <w:rsid w:val="005C4101"/>
    <w:rsid w:val="005C4D2A"/>
    <w:rsid w:val="005D6171"/>
    <w:rsid w:val="005D6F2D"/>
    <w:rsid w:val="005D76FB"/>
    <w:rsid w:val="005E1E2B"/>
    <w:rsid w:val="005E66CB"/>
    <w:rsid w:val="005E66CC"/>
    <w:rsid w:val="005F0DF8"/>
    <w:rsid w:val="005F63F1"/>
    <w:rsid w:val="006137E5"/>
    <w:rsid w:val="00621AE4"/>
    <w:rsid w:val="006224A3"/>
    <w:rsid w:val="006224B8"/>
    <w:rsid w:val="00631DD2"/>
    <w:rsid w:val="0063437E"/>
    <w:rsid w:val="0065398E"/>
    <w:rsid w:val="00653C47"/>
    <w:rsid w:val="00656EBA"/>
    <w:rsid w:val="006572D5"/>
    <w:rsid w:val="006605EE"/>
    <w:rsid w:val="00675199"/>
    <w:rsid w:val="0068032B"/>
    <w:rsid w:val="00681AD3"/>
    <w:rsid w:val="00684350"/>
    <w:rsid w:val="0068440C"/>
    <w:rsid w:val="00686866"/>
    <w:rsid w:val="00687597"/>
    <w:rsid w:val="00692CA8"/>
    <w:rsid w:val="006948CE"/>
    <w:rsid w:val="006949C7"/>
    <w:rsid w:val="006A010A"/>
    <w:rsid w:val="006A4BD7"/>
    <w:rsid w:val="006A4BEA"/>
    <w:rsid w:val="006A5CF7"/>
    <w:rsid w:val="006B13DE"/>
    <w:rsid w:val="006B6D53"/>
    <w:rsid w:val="006C3501"/>
    <w:rsid w:val="006C40C6"/>
    <w:rsid w:val="006C5858"/>
    <w:rsid w:val="006D176A"/>
    <w:rsid w:val="006D3A50"/>
    <w:rsid w:val="006D7151"/>
    <w:rsid w:val="006E0F31"/>
    <w:rsid w:val="006F51F1"/>
    <w:rsid w:val="006F6232"/>
    <w:rsid w:val="0071483C"/>
    <w:rsid w:val="007268B2"/>
    <w:rsid w:val="007305A0"/>
    <w:rsid w:val="00736242"/>
    <w:rsid w:val="00746E01"/>
    <w:rsid w:val="00752313"/>
    <w:rsid w:val="00757A07"/>
    <w:rsid w:val="0076265F"/>
    <w:rsid w:val="00763A02"/>
    <w:rsid w:val="00763A45"/>
    <w:rsid w:val="00763DAE"/>
    <w:rsid w:val="00764478"/>
    <w:rsid w:val="00773B6C"/>
    <w:rsid w:val="0078022C"/>
    <w:rsid w:val="00780B35"/>
    <w:rsid w:val="00780FCC"/>
    <w:rsid w:val="007866CB"/>
    <w:rsid w:val="007917B7"/>
    <w:rsid w:val="00791813"/>
    <w:rsid w:val="00791ABC"/>
    <w:rsid w:val="007953B6"/>
    <w:rsid w:val="007978D2"/>
    <w:rsid w:val="007A05E6"/>
    <w:rsid w:val="007A5E57"/>
    <w:rsid w:val="007B2C7B"/>
    <w:rsid w:val="007B3AB8"/>
    <w:rsid w:val="007B3F74"/>
    <w:rsid w:val="007B5E6D"/>
    <w:rsid w:val="007B66D5"/>
    <w:rsid w:val="007D0C5C"/>
    <w:rsid w:val="007D221A"/>
    <w:rsid w:val="007D5236"/>
    <w:rsid w:val="007E0916"/>
    <w:rsid w:val="007F3EDC"/>
    <w:rsid w:val="00804271"/>
    <w:rsid w:val="008043C7"/>
    <w:rsid w:val="00804C45"/>
    <w:rsid w:val="00822A7E"/>
    <w:rsid w:val="00826017"/>
    <w:rsid w:val="008311B7"/>
    <w:rsid w:val="008351C5"/>
    <w:rsid w:val="00835D93"/>
    <w:rsid w:val="00847B1C"/>
    <w:rsid w:val="00850142"/>
    <w:rsid w:val="00851083"/>
    <w:rsid w:val="00854FC2"/>
    <w:rsid w:val="008600F8"/>
    <w:rsid w:val="00862D82"/>
    <w:rsid w:val="008766F7"/>
    <w:rsid w:val="008767A2"/>
    <w:rsid w:val="0088342B"/>
    <w:rsid w:val="00884372"/>
    <w:rsid w:val="008863B3"/>
    <w:rsid w:val="00886B51"/>
    <w:rsid w:val="008A0E3C"/>
    <w:rsid w:val="008A1272"/>
    <w:rsid w:val="008A1804"/>
    <w:rsid w:val="008A2653"/>
    <w:rsid w:val="008A3AC8"/>
    <w:rsid w:val="008A5B78"/>
    <w:rsid w:val="008A7EA4"/>
    <w:rsid w:val="008B6F26"/>
    <w:rsid w:val="008C2311"/>
    <w:rsid w:val="008C57BC"/>
    <w:rsid w:val="008C6E49"/>
    <w:rsid w:val="008D2AD9"/>
    <w:rsid w:val="008D4FFB"/>
    <w:rsid w:val="008D7165"/>
    <w:rsid w:val="008D7F83"/>
    <w:rsid w:val="008E0217"/>
    <w:rsid w:val="008E1B3D"/>
    <w:rsid w:val="008E1F01"/>
    <w:rsid w:val="008E2605"/>
    <w:rsid w:val="008E47D7"/>
    <w:rsid w:val="008E7593"/>
    <w:rsid w:val="008F0378"/>
    <w:rsid w:val="008F458F"/>
    <w:rsid w:val="008F528C"/>
    <w:rsid w:val="00901248"/>
    <w:rsid w:val="00916E0D"/>
    <w:rsid w:val="00921DB5"/>
    <w:rsid w:val="00922318"/>
    <w:rsid w:val="009239A0"/>
    <w:rsid w:val="009308D6"/>
    <w:rsid w:val="0093099E"/>
    <w:rsid w:val="00930A11"/>
    <w:rsid w:val="00932E0E"/>
    <w:rsid w:val="009336ED"/>
    <w:rsid w:val="00934237"/>
    <w:rsid w:val="00934F91"/>
    <w:rsid w:val="00937E29"/>
    <w:rsid w:val="00957FE5"/>
    <w:rsid w:val="00960B61"/>
    <w:rsid w:val="00963EC9"/>
    <w:rsid w:val="009642BF"/>
    <w:rsid w:val="00965F76"/>
    <w:rsid w:val="00971112"/>
    <w:rsid w:val="00972974"/>
    <w:rsid w:val="00980047"/>
    <w:rsid w:val="00980EC7"/>
    <w:rsid w:val="009947AB"/>
    <w:rsid w:val="009A1152"/>
    <w:rsid w:val="009A50E5"/>
    <w:rsid w:val="009B2E97"/>
    <w:rsid w:val="009B5A53"/>
    <w:rsid w:val="009B6C8E"/>
    <w:rsid w:val="009C1B8E"/>
    <w:rsid w:val="009D2584"/>
    <w:rsid w:val="009D2C00"/>
    <w:rsid w:val="009D3227"/>
    <w:rsid w:val="009D33CB"/>
    <w:rsid w:val="009D368D"/>
    <w:rsid w:val="009E46EA"/>
    <w:rsid w:val="009E655C"/>
    <w:rsid w:val="009F446D"/>
    <w:rsid w:val="00A00F8A"/>
    <w:rsid w:val="00A04E3C"/>
    <w:rsid w:val="00A0790F"/>
    <w:rsid w:val="00A11020"/>
    <w:rsid w:val="00A11E77"/>
    <w:rsid w:val="00A20CF3"/>
    <w:rsid w:val="00A21F50"/>
    <w:rsid w:val="00A220ED"/>
    <w:rsid w:val="00A23C59"/>
    <w:rsid w:val="00A23D77"/>
    <w:rsid w:val="00A240E9"/>
    <w:rsid w:val="00A354CC"/>
    <w:rsid w:val="00A35C83"/>
    <w:rsid w:val="00A36A1B"/>
    <w:rsid w:val="00A418DB"/>
    <w:rsid w:val="00A45FE3"/>
    <w:rsid w:val="00A467F6"/>
    <w:rsid w:val="00A50ABB"/>
    <w:rsid w:val="00A532F3"/>
    <w:rsid w:val="00A53C50"/>
    <w:rsid w:val="00A62780"/>
    <w:rsid w:val="00A63FE8"/>
    <w:rsid w:val="00A70C7D"/>
    <w:rsid w:val="00A71F85"/>
    <w:rsid w:val="00A74BE6"/>
    <w:rsid w:val="00A83D1C"/>
    <w:rsid w:val="00A84D52"/>
    <w:rsid w:val="00A9382D"/>
    <w:rsid w:val="00AA00A9"/>
    <w:rsid w:val="00AA5B55"/>
    <w:rsid w:val="00AB215D"/>
    <w:rsid w:val="00AB35ED"/>
    <w:rsid w:val="00AC584D"/>
    <w:rsid w:val="00AD034C"/>
    <w:rsid w:val="00AD15F6"/>
    <w:rsid w:val="00AD4AAA"/>
    <w:rsid w:val="00AE07BB"/>
    <w:rsid w:val="00AE3405"/>
    <w:rsid w:val="00AE7D30"/>
    <w:rsid w:val="00AF438D"/>
    <w:rsid w:val="00AF65BD"/>
    <w:rsid w:val="00B0088A"/>
    <w:rsid w:val="00B01666"/>
    <w:rsid w:val="00B04991"/>
    <w:rsid w:val="00B12F66"/>
    <w:rsid w:val="00B22672"/>
    <w:rsid w:val="00B23859"/>
    <w:rsid w:val="00B239C5"/>
    <w:rsid w:val="00B26944"/>
    <w:rsid w:val="00B274EA"/>
    <w:rsid w:val="00B31B7C"/>
    <w:rsid w:val="00B34222"/>
    <w:rsid w:val="00B54A46"/>
    <w:rsid w:val="00B705F7"/>
    <w:rsid w:val="00B7743F"/>
    <w:rsid w:val="00B82605"/>
    <w:rsid w:val="00B914F4"/>
    <w:rsid w:val="00B92AEA"/>
    <w:rsid w:val="00B92B53"/>
    <w:rsid w:val="00B92F58"/>
    <w:rsid w:val="00B9515E"/>
    <w:rsid w:val="00BA0E49"/>
    <w:rsid w:val="00BA14EB"/>
    <w:rsid w:val="00BA2601"/>
    <w:rsid w:val="00BA2EBF"/>
    <w:rsid w:val="00BB2947"/>
    <w:rsid w:val="00BB3F6E"/>
    <w:rsid w:val="00BC156D"/>
    <w:rsid w:val="00BC34A6"/>
    <w:rsid w:val="00BD0945"/>
    <w:rsid w:val="00BD0B75"/>
    <w:rsid w:val="00BD1D22"/>
    <w:rsid w:val="00BE0579"/>
    <w:rsid w:val="00BE1CCF"/>
    <w:rsid w:val="00BE682D"/>
    <w:rsid w:val="00BF1052"/>
    <w:rsid w:val="00BF1082"/>
    <w:rsid w:val="00BF1FC2"/>
    <w:rsid w:val="00BF624A"/>
    <w:rsid w:val="00C00161"/>
    <w:rsid w:val="00C012F5"/>
    <w:rsid w:val="00C043F5"/>
    <w:rsid w:val="00C30092"/>
    <w:rsid w:val="00C33D87"/>
    <w:rsid w:val="00C40414"/>
    <w:rsid w:val="00C42BF9"/>
    <w:rsid w:val="00C450D2"/>
    <w:rsid w:val="00C47170"/>
    <w:rsid w:val="00C47270"/>
    <w:rsid w:val="00C47979"/>
    <w:rsid w:val="00C47E19"/>
    <w:rsid w:val="00C510DA"/>
    <w:rsid w:val="00C613D8"/>
    <w:rsid w:val="00C62884"/>
    <w:rsid w:val="00C64176"/>
    <w:rsid w:val="00C6439F"/>
    <w:rsid w:val="00C6694C"/>
    <w:rsid w:val="00C70035"/>
    <w:rsid w:val="00C72074"/>
    <w:rsid w:val="00C76BE1"/>
    <w:rsid w:val="00C7701D"/>
    <w:rsid w:val="00C773B0"/>
    <w:rsid w:val="00C80A73"/>
    <w:rsid w:val="00C8111D"/>
    <w:rsid w:val="00C859E7"/>
    <w:rsid w:val="00C85FF1"/>
    <w:rsid w:val="00C8626B"/>
    <w:rsid w:val="00C87AFF"/>
    <w:rsid w:val="00C91367"/>
    <w:rsid w:val="00C9307A"/>
    <w:rsid w:val="00C96567"/>
    <w:rsid w:val="00C97159"/>
    <w:rsid w:val="00CA00C6"/>
    <w:rsid w:val="00CA36AC"/>
    <w:rsid w:val="00CA6467"/>
    <w:rsid w:val="00CB14A1"/>
    <w:rsid w:val="00CB326D"/>
    <w:rsid w:val="00CB4595"/>
    <w:rsid w:val="00CC39A6"/>
    <w:rsid w:val="00CC429C"/>
    <w:rsid w:val="00CD2E1E"/>
    <w:rsid w:val="00CD3AB6"/>
    <w:rsid w:val="00CD4DE8"/>
    <w:rsid w:val="00CD67CA"/>
    <w:rsid w:val="00CE04CD"/>
    <w:rsid w:val="00CE4764"/>
    <w:rsid w:val="00CE7421"/>
    <w:rsid w:val="00CF1A87"/>
    <w:rsid w:val="00CF50AC"/>
    <w:rsid w:val="00D00B52"/>
    <w:rsid w:val="00D01C78"/>
    <w:rsid w:val="00D06B5E"/>
    <w:rsid w:val="00D10753"/>
    <w:rsid w:val="00D14DD1"/>
    <w:rsid w:val="00D223C5"/>
    <w:rsid w:val="00D3300A"/>
    <w:rsid w:val="00D35A57"/>
    <w:rsid w:val="00D41C8A"/>
    <w:rsid w:val="00D46E89"/>
    <w:rsid w:val="00D62BE6"/>
    <w:rsid w:val="00D65896"/>
    <w:rsid w:val="00D744EA"/>
    <w:rsid w:val="00D82054"/>
    <w:rsid w:val="00D850F4"/>
    <w:rsid w:val="00D91E46"/>
    <w:rsid w:val="00D97110"/>
    <w:rsid w:val="00DA63D1"/>
    <w:rsid w:val="00DA6CF8"/>
    <w:rsid w:val="00DB0408"/>
    <w:rsid w:val="00DB2739"/>
    <w:rsid w:val="00DB37C2"/>
    <w:rsid w:val="00DB6A20"/>
    <w:rsid w:val="00DB6D17"/>
    <w:rsid w:val="00DC3E16"/>
    <w:rsid w:val="00DD44D5"/>
    <w:rsid w:val="00DE6DA4"/>
    <w:rsid w:val="00DF02F3"/>
    <w:rsid w:val="00DF11FF"/>
    <w:rsid w:val="00DF3E87"/>
    <w:rsid w:val="00DF6CDC"/>
    <w:rsid w:val="00E062C8"/>
    <w:rsid w:val="00E07197"/>
    <w:rsid w:val="00E107BD"/>
    <w:rsid w:val="00E13A2B"/>
    <w:rsid w:val="00E17295"/>
    <w:rsid w:val="00E21E20"/>
    <w:rsid w:val="00E21E9A"/>
    <w:rsid w:val="00E2217E"/>
    <w:rsid w:val="00E23E07"/>
    <w:rsid w:val="00E27E58"/>
    <w:rsid w:val="00E30400"/>
    <w:rsid w:val="00E42D14"/>
    <w:rsid w:val="00E43A20"/>
    <w:rsid w:val="00E450EF"/>
    <w:rsid w:val="00E50CAC"/>
    <w:rsid w:val="00E51C21"/>
    <w:rsid w:val="00E52359"/>
    <w:rsid w:val="00E5573B"/>
    <w:rsid w:val="00E5784B"/>
    <w:rsid w:val="00E65E4E"/>
    <w:rsid w:val="00E67108"/>
    <w:rsid w:val="00E67EDC"/>
    <w:rsid w:val="00E721F4"/>
    <w:rsid w:val="00E7301B"/>
    <w:rsid w:val="00E7663E"/>
    <w:rsid w:val="00E76AB8"/>
    <w:rsid w:val="00E82203"/>
    <w:rsid w:val="00E83684"/>
    <w:rsid w:val="00E86FBF"/>
    <w:rsid w:val="00E94644"/>
    <w:rsid w:val="00E96001"/>
    <w:rsid w:val="00EA0453"/>
    <w:rsid w:val="00EA326E"/>
    <w:rsid w:val="00EB5934"/>
    <w:rsid w:val="00EB5F14"/>
    <w:rsid w:val="00EB6EA7"/>
    <w:rsid w:val="00EC5208"/>
    <w:rsid w:val="00ED32FB"/>
    <w:rsid w:val="00ED3FB7"/>
    <w:rsid w:val="00ED6CFA"/>
    <w:rsid w:val="00ED7EE8"/>
    <w:rsid w:val="00EE07B5"/>
    <w:rsid w:val="00EF0F16"/>
    <w:rsid w:val="00EF5B87"/>
    <w:rsid w:val="00F0027A"/>
    <w:rsid w:val="00F01D7F"/>
    <w:rsid w:val="00F054BE"/>
    <w:rsid w:val="00F073D2"/>
    <w:rsid w:val="00F15394"/>
    <w:rsid w:val="00F1719F"/>
    <w:rsid w:val="00F176F4"/>
    <w:rsid w:val="00F25C29"/>
    <w:rsid w:val="00F260C5"/>
    <w:rsid w:val="00F32AFE"/>
    <w:rsid w:val="00F35EE2"/>
    <w:rsid w:val="00F402BA"/>
    <w:rsid w:val="00F429CE"/>
    <w:rsid w:val="00F5247C"/>
    <w:rsid w:val="00F63436"/>
    <w:rsid w:val="00F64B55"/>
    <w:rsid w:val="00F64F9B"/>
    <w:rsid w:val="00F7305A"/>
    <w:rsid w:val="00F74800"/>
    <w:rsid w:val="00F809C8"/>
    <w:rsid w:val="00F813D8"/>
    <w:rsid w:val="00F83F74"/>
    <w:rsid w:val="00F85235"/>
    <w:rsid w:val="00F94B86"/>
    <w:rsid w:val="00F9508D"/>
    <w:rsid w:val="00FA08F0"/>
    <w:rsid w:val="00FA206F"/>
    <w:rsid w:val="00FB47F0"/>
    <w:rsid w:val="00FB4971"/>
    <w:rsid w:val="00FB6565"/>
    <w:rsid w:val="00FC064B"/>
    <w:rsid w:val="00FD03B0"/>
    <w:rsid w:val="00FD48B0"/>
    <w:rsid w:val="00FD7208"/>
    <w:rsid w:val="00FE0538"/>
    <w:rsid w:val="00FE3B82"/>
    <w:rsid w:val="00FF32C5"/>
    <w:rsid w:val="00FF62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5596"/>
    </o:shapedefaults>
    <o:shapelayout v:ext="edit">
      <o:idmap v:ext="edit" data="1"/>
    </o:shapelayout>
  </w:shapeDefaults>
  <w:decimalSymbol w:val="."/>
  <w:listSeparator w:val=","/>
  <w14:docId w14:val="002CCD17"/>
  <w15:docId w15:val="{658F07C0-E0B3-4E2B-8CD5-EBE9E3E9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42"/>
    <w:pPr>
      <w:spacing w:after="0" w:line="280" w:lineRule="atLeast"/>
      <w:jc w:val="both"/>
    </w:pPr>
  </w:style>
  <w:style w:type="paragraph" w:styleId="Heading1">
    <w:name w:val="heading 1"/>
    <w:basedOn w:val="Normal"/>
    <w:next w:val="Normal"/>
    <w:link w:val="Heading1Char"/>
    <w:uiPriority w:val="9"/>
    <w:qFormat/>
    <w:rsid w:val="00287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1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11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835"/>
    <w:pPr>
      <w:tabs>
        <w:tab w:val="center" w:pos="4513"/>
        <w:tab w:val="right" w:pos="9026"/>
      </w:tabs>
      <w:spacing w:line="240" w:lineRule="auto"/>
    </w:pPr>
  </w:style>
  <w:style w:type="character" w:customStyle="1" w:styleId="HeaderChar">
    <w:name w:val="Header Char"/>
    <w:basedOn w:val="DefaultParagraphFont"/>
    <w:link w:val="Header"/>
    <w:uiPriority w:val="99"/>
    <w:rsid w:val="00287835"/>
  </w:style>
  <w:style w:type="paragraph" w:styleId="Footer">
    <w:name w:val="footer"/>
    <w:basedOn w:val="Normal"/>
    <w:link w:val="FooterChar"/>
    <w:uiPriority w:val="99"/>
    <w:unhideWhenUsed/>
    <w:rsid w:val="00287835"/>
    <w:pPr>
      <w:tabs>
        <w:tab w:val="center" w:pos="4513"/>
        <w:tab w:val="right" w:pos="9026"/>
      </w:tabs>
      <w:spacing w:line="240" w:lineRule="auto"/>
    </w:pPr>
  </w:style>
  <w:style w:type="character" w:customStyle="1" w:styleId="FooterChar">
    <w:name w:val="Footer Char"/>
    <w:basedOn w:val="DefaultParagraphFont"/>
    <w:link w:val="Footer"/>
    <w:uiPriority w:val="99"/>
    <w:rsid w:val="00287835"/>
  </w:style>
  <w:style w:type="paragraph" w:styleId="BalloonText">
    <w:name w:val="Balloon Text"/>
    <w:basedOn w:val="Normal"/>
    <w:link w:val="BalloonTextChar"/>
    <w:uiPriority w:val="99"/>
    <w:semiHidden/>
    <w:unhideWhenUsed/>
    <w:rsid w:val="002878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835"/>
    <w:rPr>
      <w:rFonts w:ascii="Tahoma" w:hAnsi="Tahoma" w:cs="Tahoma"/>
      <w:sz w:val="16"/>
      <w:szCs w:val="16"/>
    </w:rPr>
  </w:style>
  <w:style w:type="paragraph" w:customStyle="1" w:styleId="DKM1">
    <w:name w:val="DKM1"/>
    <w:basedOn w:val="Heading1"/>
    <w:qFormat/>
    <w:rsid w:val="00AD034C"/>
    <w:pPr>
      <w:numPr>
        <w:numId w:val="2"/>
      </w:numPr>
      <w:spacing w:before="120" w:after="240"/>
    </w:pPr>
    <w:rPr>
      <w:rFonts w:ascii="Calibri" w:hAnsi="Calibri"/>
      <w:caps/>
      <w:color w:val="98002E"/>
    </w:rPr>
  </w:style>
  <w:style w:type="paragraph" w:customStyle="1" w:styleId="DKM2">
    <w:name w:val="DKM2"/>
    <w:basedOn w:val="Heading2"/>
    <w:qFormat/>
    <w:rsid w:val="00262638"/>
    <w:pPr>
      <w:numPr>
        <w:ilvl w:val="1"/>
        <w:numId w:val="2"/>
      </w:numPr>
      <w:spacing w:before="240" w:after="120"/>
    </w:pPr>
    <w:rPr>
      <w:rFonts w:ascii="Calibri" w:hAnsi="Calibri"/>
      <w:smallCaps/>
      <w:color w:val="005596"/>
      <w:sz w:val="24"/>
    </w:rPr>
  </w:style>
  <w:style w:type="character" w:customStyle="1" w:styleId="Heading1Char">
    <w:name w:val="Heading 1 Char"/>
    <w:basedOn w:val="DefaultParagraphFont"/>
    <w:link w:val="Heading1"/>
    <w:uiPriority w:val="9"/>
    <w:rsid w:val="00287835"/>
    <w:rPr>
      <w:rFonts w:asciiTheme="majorHAnsi" w:eastAsiaTheme="majorEastAsia" w:hAnsiTheme="majorHAnsi" w:cstheme="majorBidi"/>
      <w:b/>
      <w:bCs/>
      <w:color w:val="365F91" w:themeColor="accent1" w:themeShade="BF"/>
      <w:sz w:val="28"/>
      <w:szCs w:val="28"/>
    </w:rPr>
  </w:style>
  <w:style w:type="paragraph" w:customStyle="1" w:styleId="DKM3">
    <w:name w:val="DKM3"/>
    <w:basedOn w:val="Heading3"/>
    <w:qFormat/>
    <w:rsid w:val="00B01666"/>
    <w:pPr>
      <w:numPr>
        <w:ilvl w:val="2"/>
        <w:numId w:val="2"/>
      </w:numPr>
      <w:spacing w:before="120" w:after="120"/>
    </w:pPr>
    <w:rPr>
      <w:rFonts w:ascii="Calibri" w:hAnsi="Calibri"/>
      <w:color w:val="005596"/>
    </w:rPr>
  </w:style>
  <w:style w:type="character" w:customStyle="1" w:styleId="Heading2Char">
    <w:name w:val="Heading 2 Char"/>
    <w:basedOn w:val="DefaultParagraphFont"/>
    <w:link w:val="Heading2"/>
    <w:uiPriority w:val="9"/>
    <w:semiHidden/>
    <w:rsid w:val="0036113A"/>
    <w:rPr>
      <w:rFonts w:asciiTheme="majorHAnsi" w:eastAsiaTheme="majorEastAsia" w:hAnsiTheme="majorHAnsi" w:cstheme="majorBidi"/>
      <w:b/>
      <w:bCs/>
      <w:color w:val="4F81BD" w:themeColor="accent1"/>
      <w:sz w:val="26"/>
      <w:szCs w:val="26"/>
    </w:rPr>
  </w:style>
  <w:style w:type="paragraph" w:customStyle="1" w:styleId="Style1">
    <w:name w:val="Style1"/>
    <w:basedOn w:val="DKM3"/>
    <w:qFormat/>
    <w:rsid w:val="0036113A"/>
    <w:pPr>
      <w:spacing w:before="240" w:after="0"/>
    </w:pPr>
  </w:style>
  <w:style w:type="character" w:customStyle="1" w:styleId="Heading3Char">
    <w:name w:val="Heading 3 Char"/>
    <w:basedOn w:val="DefaultParagraphFont"/>
    <w:link w:val="Heading3"/>
    <w:uiPriority w:val="9"/>
    <w:rsid w:val="0036113A"/>
    <w:rPr>
      <w:rFonts w:asciiTheme="majorHAnsi" w:eastAsiaTheme="majorEastAsia" w:hAnsiTheme="majorHAnsi" w:cstheme="majorBidi"/>
      <w:b/>
      <w:bCs/>
      <w:color w:val="4F81BD" w:themeColor="accent1"/>
    </w:rPr>
  </w:style>
  <w:style w:type="paragraph" w:customStyle="1" w:styleId="DKMBody">
    <w:name w:val="DKMBody"/>
    <w:basedOn w:val="Normal"/>
    <w:qFormat/>
    <w:rsid w:val="0036113A"/>
  </w:style>
  <w:style w:type="paragraph" w:customStyle="1" w:styleId="DKMFigure">
    <w:name w:val="DKM Figure"/>
    <w:basedOn w:val="TableofFigures"/>
    <w:qFormat/>
    <w:rsid w:val="001A2F04"/>
    <w:pPr>
      <w:numPr>
        <w:ilvl w:val="3"/>
        <w:numId w:val="2"/>
      </w:numPr>
      <w:spacing w:before="240" w:line="280" w:lineRule="atLeast"/>
    </w:pPr>
    <w:rPr>
      <w:smallCaps w:val="0"/>
      <w:color w:val="98002E"/>
    </w:rPr>
  </w:style>
  <w:style w:type="paragraph" w:customStyle="1" w:styleId="DKMTable">
    <w:name w:val="DKMTable"/>
    <w:basedOn w:val="TableofFigures"/>
    <w:qFormat/>
    <w:rsid w:val="001A2F04"/>
    <w:pPr>
      <w:numPr>
        <w:ilvl w:val="4"/>
        <w:numId w:val="2"/>
      </w:numPr>
      <w:spacing w:before="240" w:line="280" w:lineRule="atLeast"/>
    </w:pPr>
    <w:rPr>
      <w:smallCaps w:val="0"/>
      <w:color w:val="98002E"/>
    </w:rPr>
  </w:style>
  <w:style w:type="paragraph" w:styleId="TableofFigures">
    <w:name w:val="table of figures"/>
    <w:basedOn w:val="Normal"/>
    <w:next w:val="Normal"/>
    <w:uiPriority w:val="99"/>
    <w:unhideWhenUsed/>
    <w:rsid w:val="00B01666"/>
    <w:pPr>
      <w:spacing w:after="120" w:line="200" w:lineRule="atLeast"/>
    </w:pPr>
    <w:rPr>
      <w:b/>
      <w:smallCaps/>
      <w:color w:val="005596"/>
    </w:rPr>
  </w:style>
  <w:style w:type="paragraph" w:styleId="FootnoteText">
    <w:name w:val="footnote text"/>
    <w:aliases w:val="FOOTNOTES,TBG Style,fn,Fußnotentextf,Fußnotentextr,stile 1,Footnote,Footnote1,Footnote2,Footnote3,Footnote4,Footnote5,Footnote6,Footnote7,Footnote8,Footnote9,Footnote10,Footnote11,Footnote21,Footnote31,Footnote41,Footnote51,Footnote61"/>
    <w:basedOn w:val="Normal"/>
    <w:link w:val="FootnoteTextChar"/>
    <w:uiPriority w:val="99"/>
    <w:unhideWhenUsed/>
    <w:rsid w:val="0036113A"/>
    <w:pPr>
      <w:spacing w:line="240" w:lineRule="auto"/>
    </w:pPr>
    <w:rPr>
      <w:sz w:val="20"/>
      <w:szCs w:val="20"/>
    </w:rPr>
  </w:style>
  <w:style w:type="character" w:customStyle="1" w:styleId="FootnoteTextChar">
    <w:name w:val="Footnote Text Char"/>
    <w:aliases w:val="FOOTNOTES Char,TBG Style Char,fn Char,Fußnotentextf Char,Fußnotentextr Char,stile 1 Char,Footnote Char,Footnote1 Char,Footnote2 Char,Footnote3 Char,Footnote4 Char,Footnote5 Char,Footnote6 Char,Footnote7 Char,Footnote8 Char"/>
    <w:basedOn w:val="DefaultParagraphFont"/>
    <w:link w:val="FootnoteText"/>
    <w:uiPriority w:val="99"/>
    <w:rsid w:val="0036113A"/>
    <w:rPr>
      <w:sz w:val="20"/>
      <w:szCs w:val="20"/>
    </w:rPr>
  </w:style>
  <w:style w:type="character" w:styleId="FootnoteReference">
    <w:name w:val="footnote reference"/>
    <w:aliases w:val="Footnote symbol,Footnote reference number,Times 10 Point,Exposant 3 Point,EN Footnote Reference,note TESI,-E Fußnotenzeichen,SUPERS,Footnote Reference Number,Odwołanie przypisu,stylish,number,no...,BVI fnr,Footnote Reference/,fr"/>
    <w:basedOn w:val="DefaultParagraphFont"/>
    <w:uiPriority w:val="99"/>
    <w:unhideWhenUsed/>
    <w:rsid w:val="0036113A"/>
    <w:rPr>
      <w:vertAlign w:val="superscript"/>
    </w:rPr>
  </w:style>
  <w:style w:type="paragraph" w:customStyle="1" w:styleId="DKMFoot">
    <w:name w:val="DKMFoot"/>
    <w:basedOn w:val="FootnoteText"/>
    <w:qFormat/>
    <w:rsid w:val="0036113A"/>
    <w:pPr>
      <w:spacing w:after="120" w:line="280" w:lineRule="atLeast"/>
    </w:pPr>
    <w:rPr>
      <w:sz w:val="18"/>
    </w:rPr>
  </w:style>
  <w:style w:type="numbering" w:customStyle="1" w:styleId="Style2">
    <w:name w:val="Style2"/>
    <w:uiPriority w:val="99"/>
    <w:rsid w:val="00B01666"/>
    <w:pPr>
      <w:numPr>
        <w:numId w:val="1"/>
      </w:numPr>
    </w:pPr>
  </w:style>
  <w:style w:type="paragraph" w:styleId="TOCHeading">
    <w:name w:val="TOC Heading"/>
    <w:basedOn w:val="Heading1"/>
    <w:next w:val="Normal"/>
    <w:uiPriority w:val="39"/>
    <w:semiHidden/>
    <w:unhideWhenUsed/>
    <w:qFormat/>
    <w:rsid w:val="00B01666"/>
    <w:pPr>
      <w:outlineLvl w:val="9"/>
    </w:pPr>
    <w:rPr>
      <w:lang w:val="en-US" w:eastAsia="en-US"/>
    </w:rPr>
  </w:style>
  <w:style w:type="paragraph" w:styleId="TOC1">
    <w:name w:val="toc 1"/>
    <w:basedOn w:val="Normal"/>
    <w:next w:val="Normal"/>
    <w:autoRedefine/>
    <w:uiPriority w:val="39"/>
    <w:unhideWhenUsed/>
    <w:rsid w:val="00B01666"/>
    <w:pPr>
      <w:spacing w:after="120"/>
    </w:pPr>
    <w:rPr>
      <w:rFonts w:ascii="Calibri" w:hAnsi="Calibri"/>
      <w:caps/>
      <w:color w:val="98002E"/>
    </w:rPr>
  </w:style>
  <w:style w:type="paragraph" w:styleId="TOC2">
    <w:name w:val="toc 2"/>
    <w:basedOn w:val="Normal"/>
    <w:next w:val="Normal"/>
    <w:autoRedefine/>
    <w:uiPriority w:val="39"/>
    <w:unhideWhenUsed/>
    <w:rsid w:val="00B01666"/>
    <w:pPr>
      <w:spacing w:after="120"/>
      <w:ind w:left="221"/>
    </w:pPr>
    <w:rPr>
      <w:rFonts w:ascii="Calibri" w:hAnsi="Calibri"/>
      <w:smallCaps/>
      <w:color w:val="005596"/>
    </w:rPr>
  </w:style>
  <w:style w:type="paragraph" w:styleId="TOC3">
    <w:name w:val="toc 3"/>
    <w:basedOn w:val="Normal"/>
    <w:next w:val="Normal"/>
    <w:autoRedefine/>
    <w:uiPriority w:val="39"/>
    <w:unhideWhenUsed/>
    <w:rsid w:val="00B01666"/>
    <w:pPr>
      <w:spacing w:after="100"/>
      <w:ind w:left="440"/>
    </w:pPr>
  </w:style>
  <w:style w:type="character" w:styleId="Hyperlink">
    <w:name w:val="Hyperlink"/>
    <w:basedOn w:val="DefaultParagraphFont"/>
    <w:uiPriority w:val="99"/>
    <w:unhideWhenUsed/>
    <w:rsid w:val="00B01666"/>
    <w:rPr>
      <w:color w:val="0000FF" w:themeColor="hyperlink"/>
      <w:u w:val="single"/>
    </w:rPr>
  </w:style>
  <w:style w:type="paragraph" w:customStyle="1" w:styleId="DKMBodyText">
    <w:name w:val="DKM Body Text"/>
    <w:basedOn w:val="Normal"/>
    <w:link w:val="DKMBodyTextChar"/>
    <w:qFormat/>
    <w:rsid w:val="005E66CB"/>
    <w:rPr>
      <w:rFonts w:ascii="Calibri" w:eastAsiaTheme="minorHAnsi" w:hAnsi="Calibri"/>
      <w:lang w:eastAsia="en-US"/>
    </w:rPr>
  </w:style>
  <w:style w:type="paragraph" w:styleId="NoSpacing">
    <w:name w:val="No Spacing"/>
    <w:link w:val="NoSpacingChar"/>
    <w:uiPriority w:val="1"/>
    <w:qFormat/>
    <w:rsid w:val="005E66CB"/>
    <w:pPr>
      <w:spacing w:after="0" w:line="240" w:lineRule="auto"/>
    </w:pPr>
    <w:rPr>
      <w:lang w:val="en-US" w:eastAsia="en-US"/>
    </w:rPr>
  </w:style>
  <w:style w:type="character" w:customStyle="1" w:styleId="NoSpacingChar">
    <w:name w:val="No Spacing Char"/>
    <w:basedOn w:val="DefaultParagraphFont"/>
    <w:link w:val="NoSpacing"/>
    <w:uiPriority w:val="1"/>
    <w:rsid w:val="005E66CB"/>
    <w:rPr>
      <w:lang w:val="en-US" w:eastAsia="en-US"/>
    </w:rPr>
  </w:style>
  <w:style w:type="paragraph" w:customStyle="1" w:styleId="BackCoverContact">
    <w:name w:val="Back Cover Contact"/>
    <w:basedOn w:val="Normal"/>
    <w:rsid w:val="004D64B4"/>
    <w:pPr>
      <w:keepLines/>
      <w:tabs>
        <w:tab w:val="left" w:pos="397"/>
      </w:tabs>
      <w:spacing w:line="250" w:lineRule="exact"/>
    </w:pPr>
    <w:rPr>
      <w:rFonts w:ascii="Arial" w:eastAsia="Times New Roman" w:hAnsi="Arial" w:cs="Times New Roman"/>
      <w:bCs/>
      <w:color w:val="0093D0"/>
      <w:sz w:val="17"/>
      <w:szCs w:val="20"/>
      <w:lang w:val="en-GB" w:eastAsia="en-GB"/>
    </w:rPr>
  </w:style>
  <w:style w:type="paragraph" w:customStyle="1" w:styleId="BackCoverHeading">
    <w:name w:val="Back Cover Heading"/>
    <w:basedOn w:val="BackCoverContact"/>
    <w:next w:val="BackCoverContact"/>
    <w:rsid w:val="004D64B4"/>
    <w:pPr>
      <w:tabs>
        <w:tab w:val="clear" w:pos="397"/>
        <w:tab w:val="left" w:pos="200"/>
        <w:tab w:val="left" w:pos="400"/>
        <w:tab w:val="left" w:pos="600"/>
        <w:tab w:val="left" w:pos="800"/>
        <w:tab w:val="left" w:pos="1000"/>
      </w:tabs>
      <w:spacing w:after="80"/>
    </w:pPr>
    <w:rPr>
      <w:b/>
      <w:caps/>
    </w:rPr>
  </w:style>
  <w:style w:type="table" w:styleId="ColorfulList-Accent1">
    <w:name w:val="Colorful List Accent 1"/>
    <w:basedOn w:val="TableNormal"/>
    <w:uiPriority w:val="72"/>
    <w:rsid w:val="00476E5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shd w:val="clear" w:color="auto" w:fill="98002E"/>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Grid">
    <w:name w:val="Table Grid"/>
    <w:basedOn w:val="TableNormal"/>
    <w:uiPriority w:val="59"/>
    <w:rsid w:val="007B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947"/>
    <w:pPr>
      <w:spacing w:after="200" w:line="276" w:lineRule="auto"/>
      <w:ind w:left="720"/>
      <w:contextualSpacing/>
      <w:jc w:val="left"/>
    </w:pPr>
    <w:rPr>
      <w:rFonts w:ascii="Calibri" w:eastAsiaTheme="minorHAnsi" w:hAnsi="Calibri" w:cs="Times New Roman"/>
      <w:lang w:eastAsia="en-US"/>
    </w:rPr>
  </w:style>
  <w:style w:type="paragraph" w:customStyle="1" w:styleId="Default">
    <w:name w:val="Default"/>
    <w:rsid w:val="00C62884"/>
    <w:pPr>
      <w:autoSpaceDE w:val="0"/>
      <w:autoSpaceDN w:val="0"/>
      <w:adjustRightInd w:val="0"/>
      <w:spacing w:after="0" w:line="240" w:lineRule="auto"/>
    </w:pPr>
    <w:rPr>
      <w:rFonts w:ascii="Bliss Bold" w:eastAsiaTheme="minorHAnsi" w:hAnsi="Bliss Bold" w:cs="Bliss Bold"/>
      <w:color w:val="000000"/>
      <w:sz w:val="24"/>
      <w:szCs w:val="24"/>
      <w:lang w:eastAsia="en-US"/>
    </w:rPr>
  </w:style>
  <w:style w:type="character" w:customStyle="1" w:styleId="A7">
    <w:name w:val="A7"/>
    <w:uiPriority w:val="99"/>
    <w:rsid w:val="00263E1E"/>
    <w:rPr>
      <w:rFonts w:cs="Myriad Pro"/>
      <w:color w:val="000000"/>
      <w:sz w:val="17"/>
      <w:szCs w:val="17"/>
    </w:rPr>
  </w:style>
  <w:style w:type="character" w:customStyle="1" w:styleId="A1">
    <w:name w:val="A1"/>
    <w:uiPriority w:val="99"/>
    <w:rsid w:val="00263E1E"/>
    <w:rPr>
      <w:rFonts w:cs="Bliss Bold"/>
      <w:color w:val="000000"/>
      <w:sz w:val="52"/>
      <w:szCs w:val="52"/>
    </w:rPr>
  </w:style>
  <w:style w:type="character" w:customStyle="1" w:styleId="A0">
    <w:name w:val="A0"/>
    <w:uiPriority w:val="99"/>
    <w:rsid w:val="00263E1E"/>
    <w:rPr>
      <w:rFonts w:cs="Bliss Bold"/>
      <w:color w:val="000000"/>
      <w:sz w:val="32"/>
      <w:szCs w:val="32"/>
    </w:rPr>
  </w:style>
  <w:style w:type="character" w:customStyle="1" w:styleId="A3">
    <w:name w:val="A3"/>
    <w:uiPriority w:val="99"/>
    <w:rsid w:val="00263E1E"/>
    <w:rPr>
      <w:rFonts w:cs="Myriad Pro"/>
      <w:color w:val="000000"/>
      <w:sz w:val="44"/>
      <w:szCs w:val="44"/>
    </w:rPr>
  </w:style>
  <w:style w:type="character" w:styleId="CommentReference">
    <w:name w:val="annotation reference"/>
    <w:basedOn w:val="DefaultParagraphFont"/>
    <w:uiPriority w:val="99"/>
    <w:semiHidden/>
    <w:unhideWhenUsed/>
    <w:rsid w:val="00324B46"/>
    <w:rPr>
      <w:sz w:val="16"/>
      <w:szCs w:val="16"/>
    </w:rPr>
  </w:style>
  <w:style w:type="paragraph" w:styleId="CommentText">
    <w:name w:val="annotation text"/>
    <w:basedOn w:val="Normal"/>
    <w:link w:val="CommentTextChar"/>
    <w:uiPriority w:val="99"/>
    <w:semiHidden/>
    <w:unhideWhenUsed/>
    <w:rsid w:val="00324B46"/>
    <w:pPr>
      <w:spacing w:line="240" w:lineRule="auto"/>
    </w:pPr>
    <w:rPr>
      <w:sz w:val="20"/>
      <w:szCs w:val="20"/>
    </w:rPr>
  </w:style>
  <w:style w:type="character" w:customStyle="1" w:styleId="CommentTextChar">
    <w:name w:val="Comment Text Char"/>
    <w:basedOn w:val="DefaultParagraphFont"/>
    <w:link w:val="CommentText"/>
    <w:uiPriority w:val="99"/>
    <w:semiHidden/>
    <w:rsid w:val="00324B46"/>
    <w:rPr>
      <w:sz w:val="20"/>
      <w:szCs w:val="20"/>
    </w:rPr>
  </w:style>
  <w:style w:type="paragraph" w:styleId="CommentSubject">
    <w:name w:val="annotation subject"/>
    <w:basedOn w:val="CommentText"/>
    <w:next w:val="CommentText"/>
    <w:link w:val="CommentSubjectChar"/>
    <w:uiPriority w:val="99"/>
    <w:semiHidden/>
    <w:unhideWhenUsed/>
    <w:rsid w:val="00324B46"/>
    <w:rPr>
      <w:b/>
      <w:bCs/>
    </w:rPr>
  </w:style>
  <w:style w:type="character" w:customStyle="1" w:styleId="CommentSubjectChar">
    <w:name w:val="Comment Subject Char"/>
    <w:basedOn w:val="CommentTextChar"/>
    <w:link w:val="CommentSubject"/>
    <w:uiPriority w:val="99"/>
    <w:semiHidden/>
    <w:rsid w:val="00324B46"/>
    <w:rPr>
      <w:b/>
      <w:bCs/>
      <w:sz w:val="20"/>
      <w:szCs w:val="20"/>
    </w:rPr>
  </w:style>
  <w:style w:type="character" w:styleId="Strong">
    <w:name w:val="Strong"/>
    <w:basedOn w:val="DefaultParagraphFont"/>
    <w:uiPriority w:val="22"/>
    <w:qFormat/>
    <w:rsid w:val="001D10D9"/>
    <w:rPr>
      <w:b/>
      <w:bCs/>
    </w:rPr>
  </w:style>
  <w:style w:type="character" w:customStyle="1" w:styleId="apple-converted-space">
    <w:name w:val="apple-converted-space"/>
    <w:basedOn w:val="DefaultParagraphFont"/>
    <w:rsid w:val="001D10D9"/>
  </w:style>
  <w:style w:type="character" w:styleId="Emphasis">
    <w:name w:val="Emphasis"/>
    <w:basedOn w:val="DefaultParagraphFont"/>
    <w:uiPriority w:val="20"/>
    <w:qFormat/>
    <w:rsid w:val="00AE7D30"/>
    <w:rPr>
      <w:i/>
      <w:iCs/>
    </w:rPr>
  </w:style>
  <w:style w:type="paragraph" w:customStyle="1" w:styleId="Pa22">
    <w:name w:val="Pa22"/>
    <w:basedOn w:val="Normal"/>
    <w:uiPriority w:val="99"/>
    <w:rsid w:val="00E43A20"/>
    <w:pPr>
      <w:autoSpaceDE w:val="0"/>
      <w:autoSpaceDN w:val="0"/>
      <w:spacing w:line="181" w:lineRule="atLeast"/>
      <w:jc w:val="left"/>
    </w:pPr>
    <w:rPr>
      <w:rFonts w:ascii="Helvetica 45 Light" w:eastAsiaTheme="minorHAnsi" w:hAnsi="Helvetica 45 Light" w:cs="Times New Roman"/>
      <w:sz w:val="24"/>
      <w:szCs w:val="24"/>
      <w:lang w:eastAsia="en-US"/>
    </w:rPr>
  </w:style>
  <w:style w:type="character" w:customStyle="1" w:styleId="explanatory-dictionary-highlight">
    <w:name w:val="explanatory-dictionary-highlight"/>
    <w:basedOn w:val="DefaultParagraphFont"/>
    <w:rsid w:val="00342825"/>
  </w:style>
  <w:style w:type="character" w:customStyle="1" w:styleId="DKMBodyTextChar">
    <w:name w:val="DKM Body Text Char"/>
    <w:basedOn w:val="DefaultParagraphFont"/>
    <w:link w:val="DKMBodyText"/>
    <w:rsid w:val="00CD67CA"/>
    <w:rPr>
      <w:rFonts w:ascii="Calibri" w:eastAsiaTheme="minorHAnsi" w:hAnsi="Calibri"/>
      <w:lang w:eastAsia="en-US"/>
    </w:rPr>
  </w:style>
  <w:style w:type="table" w:customStyle="1" w:styleId="TableGridLight1">
    <w:name w:val="Table Grid Light1"/>
    <w:basedOn w:val="TableNormal"/>
    <w:uiPriority w:val="40"/>
    <w:rsid w:val="00CD67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F624A"/>
    <w:pPr>
      <w:spacing w:before="100" w:beforeAutospacing="1" w:after="100" w:afterAutospacing="1" w:line="240" w:lineRule="auto"/>
      <w:jc w:val="left"/>
    </w:pPr>
    <w:rPr>
      <w:rFonts w:ascii="Times New Roman" w:eastAsiaTheme="minorHAnsi" w:hAnsi="Times New Roman" w:cs="Times New Roman"/>
      <w:sz w:val="24"/>
      <w:szCs w:val="24"/>
    </w:rPr>
  </w:style>
  <w:style w:type="character" w:styleId="LineNumber">
    <w:name w:val="line number"/>
    <w:basedOn w:val="DefaultParagraphFont"/>
    <w:uiPriority w:val="99"/>
    <w:semiHidden/>
    <w:unhideWhenUsed/>
    <w:rsid w:val="00D91E46"/>
  </w:style>
  <w:style w:type="paragraph" w:styleId="Revision">
    <w:name w:val="Revision"/>
    <w:hidden/>
    <w:uiPriority w:val="99"/>
    <w:semiHidden/>
    <w:rsid w:val="00335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7624">
      <w:bodyDiv w:val="1"/>
      <w:marLeft w:val="0"/>
      <w:marRight w:val="0"/>
      <w:marTop w:val="0"/>
      <w:marBottom w:val="0"/>
      <w:divBdr>
        <w:top w:val="none" w:sz="0" w:space="0" w:color="auto"/>
        <w:left w:val="none" w:sz="0" w:space="0" w:color="auto"/>
        <w:bottom w:val="none" w:sz="0" w:space="0" w:color="auto"/>
        <w:right w:val="none" w:sz="0" w:space="0" w:color="auto"/>
      </w:divBdr>
    </w:div>
    <w:div w:id="422337243">
      <w:bodyDiv w:val="1"/>
      <w:marLeft w:val="0"/>
      <w:marRight w:val="0"/>
      <w:marTop w:val="0"/>
      <w:marBottom w:val="0"/>
      <w:divBdr>
        <w:top w:val="none" w:sz="0" w:space="0" w:color="auto"/>
        <w:left w:val="none" w:sz="0" w:space="0" w:color="auto"/>
        <w:bottom w:val="none" w:sz="0" w:space="0" w:color="auto"/>
        <w:right w:val="none" w:sz="0" w:space="0" w:color="auto"/>
      </w:divBdr>
    </w:div>
    <w:div w:id="559096702">
      <w:bodyDiv w:val="1"/>
      <w:marLeft w:val="0"/>
      <w:marRight w:val="0"/>
      <w:marTop w:val="0"/>
      <w:marBottom w:val="0"/>
      <w:divBdr>
        <w:top w:val="none" w:sz="0" w:space="0" w:color="auto"/>
        <w:left w:val="none" w:sz="0" w:space="0" w:color="auto"/>
        <w:bottom w:val="none" w:sz="0" w:space="0" w:color="auto"/>
        <w:right w:val="none" w:sz="0" w:space="0" w:color="auto"/>
      </w:divBdr>
    </w:div>
    <w:div w:id="562759623">
      <w:bodyDiv w:val="1"/>
      <w:marLeft w:val="0"/>
      <w:marRight w:val="0"/>
      <w:marTop w:val="0"/>
      <w:marBottom w:val="0"/>
      <w:divBdr>
        <w:top w:val="none" w:sz="0" w:space="0" w:color="auto"/>
        <w:left w:val="none" w:sz="0" w:space="0" w:color="auto"/>
        <w:bottom w:val="none" w:sz="0" w:space="0" w:color="auto"/>
        <w:right w:val="none" w:sz="0" w:space="0" w:color="auto"/>
      </w:divBdr>
      <w:divsChild>
        <w:div w:id="775292924">
          <w:marLeft w:val="446"/>
          <w:marRight w:val="0"/>
          <w:marTop w:val="120"/>
          <w:marBottom w:val="120"/>
          <w:divBdr>
            <w:top w:val="none" w:sz="0" w:space="0" w:color="auto"/>
            <w:left w:val="none" w:sz="0" w:space="0" w:color="auto"/>
            <w:bottom w:val="none" w:sz="0" w:space="0" w:color="auto"/>
            <w:right w:val="none" w:sz="0" w:space="0" w:color="auto"/>
          </w:divBdr>
        </w:div>
        <w:div w:id="1494368920">
          <w:marLeft w:val="446"/>
          <w:marRight w:val="0"/>
          <w:marTop w:val="120"/>
          <w:marBottom w:val="120"/>
          <w:divBdr>
            <w:top w:val="none" w:sz="0" w:space="0" w:color="auto"/>
            <w:left w:val="none" w:sz="0" w:space="0" w:color="auto"/>
            <w:bottom w:val="none" w:sz="0" w:space="0" w:color="auto"/>
            <w:right w:val="none" w:sz="0" w:space="0" w:color="auto"/>
          </w:divBdr>
        </w:div>
        <w:div w:id="1611283445">
          <w:marLeft w:val="446"/>
          <w:marRight w:val="0"/>
          <w:marTop w:val="120"/>
          <w:marBottom w:val="120"/>
          <w:divBdr>
            <w:top w:val="none" w:sz="0" w:space="0" w:color="auto"/>
            <w:left w:val="none" w:sz="0" w:space="0" w:color="auto"/>
            <w:bottom w:val="none" w:sz="0" w:space="0" w:color="auto"/>
            <w:right w:val="none" w:sz="0" w:space="0" w:color="auto"/>
          </w:divBdr>
        </w:div>
        <w:div w:id="484779392">
          <w:marLeft w:val="446"/>
          <w:marRight w:val="0"/>
          <w:marTop w:val="120"/>
          <w:marBottom w:val="120"/>
          <w:divBdr>
            <w:top w:val="none" w:sz="0" w:space="0" w:color="auto"/>
            <w:left w:val="none" w:sz="0" w:space="0" w:color="auto"/>
            <w:bottom w:val="none" w:sz="0" w:space="0" w:color="auto"/>
            <w:right w:val="none" w:sz="0" w:space="0" w:color="auto"/>
          </w:divBdr>
        </w:div>
      </w:divsChild>
    </w:div>
    <w:div w:id="604922382">
      <w:bodyDiv w:val="1"/>
      <w:marLeft w:val="0"/>
      <w:marRight w:val="0"/>
      <w:marTop w:val="0"/>
      <w:marBottom w:val="0"/>
      <w:divBdr>
        <w:top w:val="none" w:sz="0" w:space="0" w:color="auto"/>
        <w:left w:val="none" w:sz="0" w:space="0" w:color="auto"/>
        <w:bottom w:val="none" w:sz="0" w:space="0" w:color="auto"/>
        <w:right w:val="none" w:sz="0" w:space="0" w:color="auto"/>
      </w:divBdr>
    </w:div>
    <w:div w:id="744955138">
      <w:bodyDiv w:val="1"/>
      <w:marLeft w:val="0"/>
      <w:marRight w:val="0"/>
      <w:marTop w:val="0"/>
      <w:marBottom w:val="0"/>
      <w:divBdr>
        <w:top w:val="none" w:sz="0" w:space="0" w:color="auto"/>
        <w:left w:val="none" w:sz="0" w:space="0" w:color="auto"/>
        <w:bottom w:val="none" w:sz="0" w:space="0" w:color="auto"/>
        <w:right w:val="none" w:sz="0" w:space="0" w:color="auto"/>
      </w:divBdr>
    </w:div>
    <w:div w:id="792557237">
      <w:bodyDiv w:val="1"/>
      <w:marLeft w:val="0"/>
      <w:marRight w:val="0"/>
      <w:marTop w:val="0"/>
      <w:marBottom w:val="0"/>
      <w:divBdr>
        <w:top w:val="none" w:sz="0" w:space="0" w:color="auto"/>
        <w:left w:val="none" w:sz="0" w:space="0" w:color="auto"/>
        <w:bottom w:val="none" w:sz="0" w:space="0" w:color="auto"/>
        <w:right w:val="none" w:sz="0" w:space="0" w:color="auto"/>
      </w:divBdr>
    </w:div>
    <w:div w:id="796071529">
      <w:bodyDiv w:val="1"/>
      <w:marLeft w:val="0"/>
      <w:marRight w:val="0"/>
      <w:marTop w:val="0"/>
      <w:marBottom w:val="0"/>
      <w:divBdr>
        <w:top w:val="none" w:sz="0" w:space="0" w:color="auto"/>
        <w:left w:val="none" w:sz="0" w:space="0" w:color="auto"/>
        <w:bottom w:val="none" w:sz="0" w:space="0" w:color="auto"/>
        <w:right w:val="none" w:sz="0" w:space="0" w:color="auto"/>
      </w:divBdr>
    </w:div>
    <w:div w:id="874006198">
      <w:bodyDiv w:val="1"/>
      <w:marLeft w:val="0"/>
      <w:marRight w:val="0"/>
      <w:marTop w:val="0"/>
      <w:marBottom w:val="0"/>
      <w:divBdr>
        <w:top w:val="none" w:sz="0" w:space="0" w:color="auto"/>
        <w:left w:val="none" w:sz="0" w:space="0" w:color="auto"/>
        <w:bottom w:val="none" w:sz="0" w:space="0" w:color="auto"/>
        <w:right w:val="none" w:sz="0" w:space="0" w:color="auto"/>
      </w:divBdr>
    </w:div>
    <w:div w:id="1110858746">
      <w:bodyDiv w:val="1"/>
      <w:marLeft w:val="0"/>
      <w:marRight w:val="0"/>
      <w:marTop w:val="0"/>
      <w:marBottom w:val="0"/>
      <w:divBdr>
        <w:top w:val="none" w:sz="0" w:space="0" w:color="auto"/>
        <w:left w:val="none" w:sz="0" w:space="0" w:color="auto"/>
        <w:bottom w:val="none" w:sz="0" w:space="0" w:color="auto"/>
        <w:right w:val="none" w:sz="0" w:space="0" w:color="auto"/>
      </w:divBdr>
    </w:div>
    <w:div w:id="1123158201">
      <w:bodyDiv w:val="1"/>
      <w:marLeft w:val="0"/>
      <w:marRight w:val="0"/>
      <w:marTop w:val="0"/>
      <w:marBottom w:val="0"/>
      <w:divBdr>
        <w:top w:val="none" w:sz="0" w:space="0" w:color="auto"/>
        <w:left w:val="none" w:sz="0" w:space="0" w:color="auto"/>
        <w:bottom w:val="none" w:sz="0" w:space="0" w:color="auto"/>
        <w:right w:val="none" w:sz="0" w:space="0" w:color="auto"/>
      </w:divBdr>
    </w:div>
    <w:div w:id="1268007086">
      <w:bodyDiv w:val="1"/>
      <w:marLeft w:val="0"/>
      <w:marRight w:val="0"/>
      <w:marTop w:val="0"/>
      <w:marBottom w:val="0"/>
      <w:divBdr>
        <w:top w:val="none" w:sz="0" w:space="0" w:color="auto"/>
        <w:left w:val="none" w:sz="0" w:space="0" w:color="auto"/>
        <w:bottom w:val="none" w:sz="0" w:space="0" w:color="auto"/>
        <w:right w:val="none" w:sz="0" w:space="0" w:color="auto"/>
      </w:divBdr>
      <w:divsChild>
        <w:div w:id="874391336">
          <w:marLeft w:val="446"/>
          <w:marRight w:val="0"/>
          <w:marTop w:val="160"/>
          <w:marBottom w:val="160"/>
          <w:divBdr>
            <w:top w:val="none" w:sz="0" w:space="0" w:color="auto"/>
            <w:left w:val="none" w:sz="0" w:space="0" w:color="auto"/>
            <w:bottom w:val="none" w:sz="0" w:space="0" w:color="auto"/>
            <w:right w:val="none" w:sz="0" w:space="0" w:color="auto"/>
          </w:divBdr>
        </w:div>
        <w:div w:id="852380846">
          <w:marLeft w:val="446"/>
          <w:marRight w:val="0"/>
          <w:marTop w:val="160"/>
          <w:marBottom w:val="160"/>
          <w:divBdr>
            <w:top w:val="none" w:sz="0" w:space="0" w:color="auto"/>
            <w:left w:val="none" w:sz="0" w:space="0" w:color="auto"/>
            <w:bottom w:val="none" w:sz="0" w:space="0" w:color="auto"/>
            <w:right w:val="none" w:sz="0" w:space="0" w:color="auto"/>
          </w:divBdr>
        </w:div>
        <w:div w:id="565796280">
          <w:marLeft w:val="446"/>
          <w:marRight w:val="0"/>
          <w:marTop w:val="160"/>
          <w:marBottom w:val="160"/>
          <w:divBdr>
            <w:top w:val="none" w:sz="0" w:space="0" w:color="auto"/>
            <w:left w:val="none" w:sz="0" w:space="0" w:color="auto"/>
            <w:bottom w:val="none" w:sz="0" w:space="0" w:color="auto"/>
            <w:right w:val="none" w:sz="0" w:space="0" w:color="auto"/>
          </w:divBdr>
        </w:div>
        <w:div w:id="1929194257">
          <w:marLeft w:val="446"/>
          <w:marRight w:val="0"/>
          <w:marTop w:val="160"/>
          <w:marBottom w:val="160"/>
          <w:divBdr>
            <w:top w:val="none" w:sz="0" w:space="0" w:color="auto"/>
            <w:left w:val="none" w:sz="0" w:space="0" w:color="auto"/>
            <w:bottom w:val="none" w:sz="0" w:space="0" w:color="auto"/>
            <w:right w:val="none" w:sz="0" w:space="0" w:color="auto"/>
          </w:divBdr>
        </w:div>
      </w:divsChild>
    </w:div>
    <w:div w:id="1306659271">
      <w:bodyDiv w:val="1"/>
      <w:marLeft w:val="0"/>
      <w:marRight w:val="0"/>
      <w:marTop w:val="0"/>
      <w:marBottom w:val="0"/>
      <w:divBdr>
        <w:top w:val="none" w:sz="0" w:space="0" w:color="auto"/>
        <w:left w:val="none" w:sz="0" w:space="0" w:color="auto"/>
        <w:bottom w:val="none" w:sz="0" w:space="0" w:color="auto"/>
        <w:right w:val="none" w:sz="0" w:space="0" w:color="auto"/>
      </w:divBdr>
    </w:div>
    <w:div w:id="1332178020">
      <w:bodyDiv w:val="1"/>
      <w:marLeft w:val="0"/>
      <w:marRight w:val="0"/>
      <w:marTop w:val="0"/>
      <w:marBottom w:val="0"/>
      <w:divBdr>
        <w:top w:val="none" w:sz="0" w:space="0" w:color="auto"/>
        <w:left w:val="none" w:sz="0" w:space="0" w:color="auto"/>
        <w:bottom w:val="none" w:sz="0" w:space="0" w:color="auto"/>
        <w:right w:val="none" w:sz="0" w:space="0" w:color="auto"/>
      </w:divBdr>
    </w:div>
    <w:div w:id="1334916139">
      <w:bodyDiv w:val="1"/>
      <w:marLeft w:val="0"/>
      <w:marRight w:val="0"/>
      <w:marTop w:val="0"/>
      <w:marBottom w:val="0"/>
      <w:divBdr>
        <w:top w:val="none" w:sz="0" w:space="0" w:color="auto"/>
        <w:left w:val="none" w:sz="0" w:space="0" w:color="auto"/>
        <w:bottom w:val="none" w:sz="0" w:space="0" w:color="auto"/>
        <w:right w:val="none" w:sz="0" w:space="0" w:color="auto"/>
      </w:divBdr>
    </w:div>
    <w:div w:id="1432968775">
      <w:bodyDiv w:val="1"/>
      <w:marLeft w:val="0"/>
      <w:marRight w:val="0"/>
      <w:marTop w:val="0"/>
      <w:marBottom w:val="0"/>
      <w:divBdr>
        <w:top w:val="none" w:sz="0" w:space="0" w:color="auto"/>
        <w:left w:val="none" w:sz="0" w:space="0" w:color="auto"/>
        <w:bottom w:val="none" w:sz="0" w:space="0" w:color="auto"/>
        <w:right w:val="none" w:sz="0" w:space="0" w:color="auto"/>
      </w:divBdr>
    </w:div>
    <w:div w:id="1454053371">
      <w:bodyDiv w:val="1"/>
      <w:marLeft w:val="0"/>
      <w:marRight w:val="0"/>
      <w:marTop w:val="0"/>
      <w:marBottom w:val="0"/>
      <w:divBdr>
        <w:top w:val="none" w:sz="0" w:space="0" w:color="auto"/>
        <w:left w:val="none" w:sz="0" w:space="0" w:color="auto"/>
        <w:bottom w:val="none" w:sz="0" w:space="0" w:color="auto"/>
        <w:right w:val="none" w:sz="0" w:space="0" w:color="auto"/>
      </w:divBdr>
    </w:div>
    <w:div w:id="1534926091">
      <w:bodyDiv w:val="1"/>
      <w:marLeft w:val="0"/>
      <w:marRight w:val="0"/>
      <w:marTop w:val="0"/>
      <w:marBottom w:val="0"/>
      <w:divBdr>
        <w:top w:val="none" w:sz="0" w:space="0" w:color="auto"/>
        <w:left w:val="none" w:sz="0" w:space="0" w:color="auto"/>
        <w:bottom w:val="none" w:sz="0" w:space="0" w:color="auto"/>
        <w:right w:val="none" w:sz="0" w:space="0" w:color="auto"/>
      </w:divBdr>
    </w:div>
    <w:div w:id="1761291183">
      <w:bodyDiv w:val="1"/>
      <w:marLeft w:val="0"/>
      <w:marRight w:val="0"/>
      <w:marTop w:val="0"/>
      <w:marBottom w:val="0"/>
      <w:divBdr>
        <w:top w:val="none" w:sz="0" w:space="0" w:color="auto"/>
        <w:left w:val="none" w:sz="0" w:space="0" w:color="auto"/>
        <w:bottom w:val="none" w:sz="0" w:space="0" w:color="auto"/>
        <w:right w:val="none" w:sz="0" w:space="0" w:color="auto"/>
      </w:divBdr>
    </w:div>
    <w:div w:id="1798446255">
      <w:bodyDiv w:val="1"/>
      <w:marLeft w:val="0"/>
      <w:marRight w:val="0"/>
      <w:marTop w:val="0"/>
      <w:marBottom w:val="0"/>
      <w:divBdr>
        <w:top w:val="none" w:sz="0" w:space="0" w:color="auto"/>
        <w:left w:val="none" w:sz="0" w:space="0" w:color="auto"/>
        <w:bottom w:val="none" w:sz="0" w:space="0" w:color="auto"/>
        <w:right w:val="none" w:sz="0" w:space="0" w:color="auto"/>
      </w:divBdr>
    </w:div>
    <w:div w:id="18890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tf-oecd.org/sites/default/files/docs/key-transport-statistics_2016_0.pdf" TargetMode="External"/><Relationship Id="rId13" Type="http://schemas.openxmlformats.org/officeDocument/2006/relationships/hyperlink" Target="http://www.competitiveness.ie/Publications/2016/Competitiveness-Challenge-2016-NCC1.pdf" TargetMode="External"/><Relationship Id="rId18" Type="http://schemas.openxmlformats.org/officeDocument/2006/relationships/hyperlink" Target="http://www.per.gov.ie/en/rev/" TargetMode="External"/><Relationship Id="rId26" Type="http://schemas.openxmlformats.org/officeDocument/2006/relationships/hyperlink" Target="https://www.rte.ie/news/business/2016/1209/837631-european-investment-bank-dublin/" TargetMode="External"/><Relationship Id="rId3" Type="http://schemas.openxmlformats.org/officeDocument/2006/relationships/hyperlink" Target="http://www.competitiveness.ie/Publications/2016/Competitiveness-Challenge-2016-NCC1.pdf" TargetMode="External"/><Relationship Id="rId21" Type="http://schemas.openxmlformats.org/officeDocument/2006/relationships/hyperlink" Target="http://www.education.ie/en/Press-Events/Press-Releases/2016-Press-Releases/PR16-11-03.html" TargetMode="External"/><Relationship Id="rId7" Type="http://schemas.openxmlformats.org/officeDocument/2006/relationships/hyperlink" Target="http://www.tomtom.com/en_gb/trafficindex/city/dublin" TargetMode="External"/><Relationship Id="rId12" Type="http://schemas.openxmlformats.org/officeDocument/2006/relationships/hyperlink" Target="http://www.cso.ie/en/releasesandpublications/er/rpp/regionalpopulationprojections2016-2031/" TargetMode="External"/><Relationship Id="rId17" Type="http://schemas.openxmlformats.org/officeDocument/2006/relationships/hyperlink" Target="http://www.cso.ie/en/media/csoie/releasespublications/documents/population/2013/poplabfor2016_2046.pdf" TargetMode="External"/><Relationship Id="rId25" Type="http://schemas.openxmlformats.org/officeDocument/2006/relationships/hyperlink" Target="http://europa.eu/rapid/press-release_IP-16-3664_en.htm" TargetMode="External"/><Relationship Id="rId2" Type="http://schemas.openxmlformats.org/officeDocument/2006/relationships/hyperlink" Target="https://www.arcadis.com/en/united-kingdom/our-perspectives/2017/february/britain-must-recruit-one-worker-every-77-seconds-to-meet-construction-needs/" TargetMode="External"/><Relationship Id="rId16" Type="http://schemas.openxmlformats.org/officeDocument/2006/relationships/hyperlink" Target="http://www.esri.ie/pubs/EO1.pdf" TargetMode="External"/><Relationship Id="rId20" Type="http://schemas.openxmlformats.org/officeDocument/2006/relationships/hyperlink" Target="http://ec.europa.eu/eurostat/web/products-datasets/-/teina210" TargetMode="External"/><Relationship Id="rId29" Type="http://schemas.openxmlformats.org/officeDocument/2006/relationships/hyperlink" Target="http://www.finance.gov.ie/sites/default/files/Information%20Note%20on%20Fiscal%20Space%202017%20fin.pdf" TargetMode="External"/><Relationship Id="rId1" Type="http://schemas.openxmlformats.org/officeDocument/2006/relationships/hyperlink" Target="http://www.competitiveness.ie/Publications/2016/Competitiveness-Challenge-2016-NCC1.pdf" TargetMode="External"/><Relationship Id="rId6" Type="http://schemas.openxmlformats.org/officeDocument/2006/relationships/hyperlink" Target="http://www.competitiveness.ie/Publications/2015/Competitiveness-Challenge-2015.pdf" TargetMode="External"/><Relationship Id="rId11" Type="http://schemas.openxmlformats.org/officeDocument/2006/relationships/hyperlink" Target="http://www.cso.ie/en/newsandevents/pressreleases/2013pressreleases/pressreleasepopulationandlabourforceprojections2016-2046/" TargetMode="External"/><Relationship Id="rId24" Type="http://schemas.openxmlformats.org/officeDocument/2006/relationships/hyperlink" Target="http://www.thelocal.it/20160518/renzi-claims-victory-as-eu-gives-italy-more-budget-rules" TargetMode="External"/><Relationship Id="rId5" Type="http://schemas.openxmlformats.org/officeDocument/2006/relationships/hyperlink" Target="https://www.arcadis.com/en/united-kingdom/our-perspectives/2017/february/britain-must-recruit-one-worker-every-77-seconds-to-meet-construction-needs/" TargetMode="External"/><Relationship Id="rId15" Type="http://schemas.openxmlformats.org/officeDocument/2006/relationships/hyperlink" Target="http://www.budget.gov.ie/Budgets/2017/Documents/Economic%20and%20Fiscal%20Outlook%202017.pdf" TargetMode="External"/><Relationship Id="rId23" Type="http://schemas.openxmlformats.org/officeDocument/2006/relationships/hyperlink" Target="http://eur-lex.europa.eu/legal-content/en/TXT/?uri=CELEX:52015DC0012" TargetMode="External"/><Relationship Id="rId28" Type="http://schemas.openxmlformats.org/officeDocument/2006/relationships/hyperlink" Target="http://www.rte.ie/news/business/2017/0302/856568-aib-annual-results/" TargetMode="External"/><Relationship Id="rId10" Type="http://schemas.openxmlformats.org/officeDocument/2006/relationships/hyperlink" Target="http://www.cso.ie/en/releasesandpublications/ep/p-cpr/censusofpopulation2016-preliminaryresults/intro/" TargetMode="External"/><Relationship Id="rId19" Type="http://schemas.openxmlformats.org/officeDocument/2006/relationships/hyperlink" Target="http://ec.europa.eu/eurostat/tgm/table.do?tab=table&amp;init=1&amp;language=en&amp;pcode=teina210&amp;plugin=1" TargetMode="External"/><Relationship Id="rId4" Type="http://schemas.openxmlformats.org/officeDocument/2006/relationships/hyperlink" Target="http://dkm.ie/en/publications/reports" TargetMode="External"/><Relationship Id="rId9" Type="http://schemas.openxmlformats.org/officeDocument/2006/relationships/hyperlink" Target="https://www.housingagency.ie/our-publications/latest-publications.aspx" TargetMode="External"/><Relationship Id="rId14" Type="http://schemas.openxmlformats.org/officeDocument/2006/relationships/hyperlink" Target="http://ec.europa.eu/eurostat/tgm/table.do?tab=table&amp;init=1&amp;language=en&amp;pcode=tec00115&amp;plugin=1" TargetMode="External"/><Relationship Id="rId22" Type="http://schemas.openxmlformats.org/officeDocument/2006/relationships/hyperlink" Target="http://www.budget.gov.ie/Budgets/2017/Documents/SES/Fiscal%20space%20and%20the%20Summer%20Economic%20Statement.pdf" TargetMode="External"/><Relationship Id="rId27" Type="http://schemas.openxmlformats.org/officeDocument/2006/relationships/hyperlink" Target="http://budget.gov.ie/Budgets/2017/Documents/White_Paper_2017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IMAGES%20LOGOS%20TEMPLATES%20&amp;%20FONTS\Report%20Templates\2015%20DKM%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9EBDC-A8F3-4757-9144-888532DC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DKM Report Template</Template>
  <TotalTime>1</TotalTime>
  <Pages>50</Pages>
  <Words>19068</Words>
  <Characters>108690</Characters>
  <Application>Microsoft Office Word</Application>
  <DocSecurity>4</DocSecurity>
  <Lines>905</Lines>
  <Paragraphs>255</Paragraphs>
  <ScaleCrop>false</ScaleCrop>
  <HeadingPairs>
    <vt:vector size="2" baseType="variant">
      <vt:variant>
        <vt:lpstr>Title</vt:lpstr>
      </vt:variant>
      <vt:variant>
        <vt:i4>1</vt:i4>
      </vt:variant>
    </vt:vector>
  </HeadingPairs>
  <TitlesOfParts>
    <vt:vector size="1" baseType="lpstr">
      <vt:lpstr>Report Heading                            Draft</vt:lpstr>
    </vt:vector>
  </TitlesOfParts>
  <Company/>
  <LinksUpToDate>false</LinksUpToDate>
  <CharactersWithSpaces>127503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Heading                            Draft</dc:title>
  <dc:creator>Annette Hughes</dc:creator>
  <cp:lastModifiedBy>Joanna Kiernan</cp:lastModifiedBy>
  <cp:revision>2</cp:revision>
  <cp:lastPrinted>2017-03-24T11:27:00Z</cp:lastPrinted>
  <dcterms:created xsi:type="dcterms:W3CDTF">2017-03-30T11:37:00Z</dcterms:created>
  <dcterms:modified xsi:type="dcterms:W3CDTF">2017-03-30T11:37:00Z</dcterms:modified>
</cp:coreProperties>
</file>